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E5" w:rsidRDefault="009F38E5">
      <w:bookmarkStart w:id="0" w:name="_GoBack"/>
      <w:bookmarkEnd w:id="0"/>
    </w:p>
    <w:p w:rsidR="009F38E5" w:rsidRDefault="009F38E5">
      <w:r w:rsidRPr="009F38E5">
        <w:rPr>
          <w:noProof/>
          <w:lang w:eastAsia="it-IT"/>
        </w:rPr>
        <w:drawing>
          <wp:inline distT="0" distB="0" distL="0" distR="0" wp14:anchorId="5D884EFF" wp14:editId="5673134D">
            <wp:extent cx="3107490" cy="751363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0081" cy="76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8E5" w:rsidRDefault="009F38E5"/>
    <w:p w:rsidR="00967CCA" w:rsidRDefault="00967CCA"/>
    <w:p w:rsidR="00967CCA" w:rsidRDefault="00967CCA"/>
    <w:p w:rsidR="00967CCA" w:rsidRDefault="00967CCA" w:rsidP="00967CCA">
      <w:pPr>
        <w:pStyle w:val="Titolo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01846"/>
          <w:sz w:val="30"/>
          <w:szCs w:val="30"/>
        </w:rPr>
      </w:pPr>
      <w:r>
        <w:rPr>
          <w:rFonts w:ascii="Arial" w:hAnsi="Arial" w:cs="Arial"/>
          <w:caps/>
          <w:color w:val="001846"/>
          <w:sz w:val="30"/>
          <w:szCs w:val="30"/>
        </w:rPr>
        <w:t>AIM ITALIA: 23 AMMISSIONI IN 2020, RACCOLTA PARI A 136 MLN</w:t>
      </w:r>
    </w:p>
    <w:p w:rsidR="00967CCA" w:rsidRDefault="00967CCA" w:rsidP="00967CC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04/01/2021 12:01</w:t>
      </w:r>
    </w:p>
    <w:p w:rsidR="00967CCA" w:rsidRDefault="00967CCA" w:rsidP="00967CC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967CCA" w:rsidRDefault="00967CCA" w:rsidP="00967CC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967CCA" w:rsidRDefault="00967CCA" w:rsidP="00967CC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MILANO (MF-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DJ)--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Aim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Italia nel 2020 ha evidenziato il maggior numero di collocamenti rispetto al mercato principale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nonostante gli effetti dell'emergenza Covid-19, confermando il trend registrato negli ultimi anni. E' quanto emerge da un'analisti di IR Top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Consulting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boutique finanziaria specializzata sui Capital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Markets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nell'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Advisory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per la quotazione, IPO Partner di Borsa Italiana. Nel 2020, spiega una nota, il mercato per la crescita delle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conta 23 ammissioni, di cui 21 nuove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2 altre ammissioni, in ridimensionamento rispetto al 2019 (35 quotazioni, di cui 31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4 ammissioni post business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combination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). I collocamenti si sono concentrati nella seconda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meta'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dell'anno, principalmente tra ottobre e dicembre. In particolare, sono approdate sul listino dedicato alla crescita delle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hyperlink r:id="rId6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Planetel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7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eVISO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8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Convergenze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9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Mit Sim</w:t>
        </w:r>
      </w:hyperlink>
      <w:r>
        <w:rPr>
          <w:rFonts w:ascii="Arial" w:hAnsi="Arial" w:cs="Arial"/>
          <w:color w:val="000000"/>
          <w:sz w:val="20"/>
          <w:szCs w:val="20"/>
        </w:rPr>
        <w:t> (Aim Professional), </w:t>
      </w:r>
      <w:hyperlink r:id="rId10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Igeamed</w:t>
        </w:r>
      </w:hyperlink>
      <w:r>
        <w:rPr>
          <w:rFonts w:ascii="Arial" w:hAnsi="Arial" w:cs="Arial"/>
          <w:color w:val="000000"/>
          <w:sz w:val="20"/>
          <w:szCs w:val="20"/>
        </w:rPr>
        <w:t> (Aim Professional), </w:t>
      </w:r>
      <w:hyperlink r:id="rId11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Tenax</w:t>
        </w:r>
      </w:hyperlink>
      <w:r>
        <w:rPr>
          <w:rFonts w:ascii="Arial" w:hAnsi="Arial" w:cs="Arial"/>
          <w:color w:val="000000"/>
          <w:sz w:val="20"/>
          <w:szCs w:val="20"/>
        </w:rPr>
        <w:t> International, </w:t>
      </w:r>
      <w:hyperlink r:id="rId12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Comal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13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Promotica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14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Tecma Solutions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15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Euro Cosmetic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16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Osai</w:t>
        </w:r>
      </w:hyperlink>
      <w:r>
        <w:rPr>
          <w:rFonts w:ascii="Arial" w:hAnsi="Arial" w:cs="Arial"/>
          <w:color w:val="000000"/>
          <w:sz w:val="20"/>
          <w:szCs w:val="20"/>
        </w:rPr>
        <w:t> Automation System, </w:t>
      </w:r>
      <w:hyperlink r:id="rId17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Trendevice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18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ESI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19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Labomar</w:t>
        </w:r>
      </w:hyperlink>
      <w:r>
        <w:rPr>
          <w:rFonts w:ascii="Arial" w:hAnsi="Arial" w:cs="Arial"/>
          <w:color w:val="000000"/>
          <w:sz w:val="20"/>
          <w:szCs w:val="20"/>
        </w:rPr>
        <w:t>, Reti, </w:t>
      </w:r>
      <w:hyperlink r:id="rId20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Fenix Entertainment</w:t>
        </w:r>
      </w:hyperlink>
      <w:r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Professional), </w:t>
      </w:r>
      <w:hyperlink r:id="rId21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Sourcesense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22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Fabilia</w:t>
        </w:r>
      </w:hyperlink>
      <w:r>
        <w:rPr>
          <w:rFonts w:ascii="Arial" w:hAnsi="Arial" w:cs="Arial"/>
          <w:color w:val="000000"/>
          <w:sz w:val="20"/>
          <w:szCs w:val="20"/>
        </w:rPr>
        <w:t> Group, </w:t>
      </w:r>
      <w:hyperlink r:id="rId23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Cy4gate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24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Sebino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25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Unidata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Inoltre, sono state ammesse 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societa'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seguito di operazioni di fusione con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societa'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precedentemente quotate sul listino: Franco Umberto Marmi (business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combination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con </w:t>
      </w:r>
      <w:hyperlink r:id="rId26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TheSpac</w:t>
        </w:r>
      </w:hyperlink>
      <w:r>
        <w:rPr>
          <w:rFonts w:ascii="Arial" w:hAnsi="Arial" w:cs="Arial"/>
          <w:color w:val="000000"/>
          <w:sz w:val="20"/>
          <w:szCs w:val="20"/>
        </w:rPr>
        <w:t>) e </w:t>
      </w:r>
      <w:hyperlink r:id="rId27" w:history="1">
        <w:r>
          <w:rPr>
            <w:rStyle w:val="Collegamentoipertestuale"/>
            <w:rFonts w:ascii="Arial" w:hAnsi="Arial" w:cs="Arial"/>
            <w:color w:val="001846"/>
            <w:sz w:val="20"/>
            <w:szCs w:val="20"/>
            <w:u w:val="none"/>
          </w:rPr>
          <w:t>Industrie Chimiche Forestali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Le 21 nuove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hanno raccolto 136 milioni di euro (207 milioni di euro nel 2019). La capitalizzazione totale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e'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pari a 513 milioni di euro e la raccolta media nel 2020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e'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stata pari a 6,5 milioni di euro, superiore al 2019 (5,9 milioni di euro in media) e il flottante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e'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stato pari al 25%, in linea con il dato registrato dalle IPO nel 2019 (24%). Le nuove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provengono per il 38% dalla Lombardia, il 33% dal Lazio, il 9,5% dall'Emilia Romagna e il 9,5% dal Piemonte. Seguono Veneto e Campania, ciascuna rispettivamente con una IPO (4,8%). In termini di raccolta di capitali, si collocano ai primi posti Lazio (32%), Lombardia (29%) e Veneto (22%). Il 76% delle nuove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si concentra su 4 settori, secondo la classificazione elaborata dall'ufficio studi IR Top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Consulting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Tecnologia (5 aziende, 24%), Servizi (5 aziende, 24%), Energia ed Energie Rinnovabili (3, 14%), Telecomunicazioni (3, 14%) e Industria (2, 10%), seguono Media &amp; Entertainment, Finanza ed Healthcare (rispettivamente con 1 azienda, 5%). Presentano ricavi medi pari a 21 milioni di euro e otto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societa'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(38% sul totale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sono PMI innovative. L'utilizzo del capitale in quotazione ha riguardato principalmente 3 linee di sviluppo: il rafforzamento delle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attivita'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R&amp;D, l'espansione su mercati internazionali e l'incremento della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capacita'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produttiva. Dalla data di quotazione, la performance media delle IPO 2020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e'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stata del +42%.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com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marco.fusi@mfdowjones.it (fine MF-DJ NEWS</w:t>
      </w:r>
    </w:p>
    <w:p w:rsidR="00967CCA" w:rsidRDefault="00967CCA"/>
    <w:sectPr w:rsidR="00967CCA" w:rsidSect="002D3EB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4746"/>
    <w:multiLevelType w:val="multilevel"/>
    <w:tmpl w:val="34F4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E5"/>
    <w:rsid w:val="002D3EBA"/>
    <w:rsid w:val="00967CCA"/>
    <w:rsid w:val="009F38E5"/>
    <w:rsid w:val="00D44F44"/>
    <w:rsid w:val="00E1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1D3B-DE73-F24C-A73D-6A2EE64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F38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38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floatl">
    <w:name w:val="floatl"/>
    <w:basedOn w:val="Carpredefinitoparagrafo"/>
    <w:rsid w:val="009F38E5"/>
  </w:style>
  <w:style w:type="character" w:styleId="Collegamentoipertestuale">
    <w:name w:val="Hyperlink"/>
    <w:basedOn w:val="Carpredefinitoparagrafo"/>
    <w:uiPriority w:val="99"/>
    <w:semiHidden/>
    <w:unhideWhenUsed/>
    <w:rsid w:val="009F38E5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F38E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F38E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tlogb">
    <w:name w:val="titlogb"/>
    <w:basedOn w:val="Carpredefinitoparagrafo"/>
    <w:rsid w:val="009F38E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F38E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F38E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dexcd">
    <w:name w:val="indexcd"/>
    <w:basedOn w:val="Carpredefinitoparagrafo"/>
    <w:rsid w:val="009F38E5"/>
  </w:style>
  <w:style w:type="paragraph" w:customStyle="1" w:styleId="num">
    <w:name w:val="num"/>
    <w:basedOn w:val="Normale"/>
    <w:rsid w:val="009F38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3r">
    <w:name w:val="t3r"/>
    <w:basedOn w:val="Carpredefinitoparagrafo"/>
    <w:rsid w:val="009F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1C1C1"/>
                            <w:left w:val="none" w:sz="0" w:space="8" w:color="C1C1C1"/>
                            <w:bottom w:val="single" w:sz="6" w:space="4" w:color="C1C1C1"/>
                            <w:right w:val="none" w:sz="0" w:space="0" w:color="C1C1C1"/>
                          </w:divBdr>
                          <w:divsChild>
                            <w:div w:id="13117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2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za.tgcom24.mediaset.it/quotazioni/quotazioni.asp?step=1&amp;action=ricerca&amp;codiceStrumento=u2ae&amp;titolo=CONVERGENZE" TargetMode="External"/><Relationship Id="rId13" Type="http://schemas.openxmlformats.org/officeDocument/2006/relationships/hyperlink" Target="http://finanza.tgcom24.mediaset.it/quotazioni/quotazioni.asp?step=1&amp;action=ricerca&amp;codiceStrumento=u2ae&amp;titolo=PROMOTICA" TargetMode="External"/><Relationship Id="rId18" Type="http://schemas.openxmlformats.org/officeDocument/2006/relationships/hyperlink" Target="http://finanza.tgcom24.mediaset.it/quotazioni/quotazioni.asp?step=1&amp;action=ricerca&amp;codiceStrumento=u2ae&amp;titolo=ESI" TargetMode="External"/><Relationship Id="rId26" Type="http://schemas.openxmlformats.org/officeDocument/2006/relationships/hyperlink" Target="http://finanza.tgcom24.mediaset.it/quotazioni/quotazioni.asp?step=1&amp;action=ricerca&amp;codiceStrumento=u2ae&amp;titolo=FRANCH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nanza.tgcom24.mediaset.it/quotazioni/quotazioni.asp?step=1&amp;action=ricerca&amp;codiceStrumento=u2ae&amp;titolo=SOURCESENSE" TargetMode="External"/><Relationship Id="rId7" Type="http://schemas.openxmlformats.org/officeDocument/2006/relationships/hyperlink" Target="http://finanza.tgcom24.mediaset.it/quotazioni/quotazioni.asp?step=1&amp;action=ricerca&amp;codiceStrumento=u2ae&amp;titolo=EVISO" TargetMode="External"/><Relationship Id="rId12" Type="http://schemas.openxmlformats.org/officeDocument/2006/relationships/hyperlink" Target="http://finanza.tgcom24.mediaset.it/quotazioni/quotazioni.asp?step=1&amp;action=ricerca&amp;codiceStrumento=u2ae&amp;titolo=COMAL" TargetMode="External"/><Relationship Id="rId17" Type="http://schemas.openxmlformats.org/officeDocument/2006/relationships/hyperlink" Target="http://finanza.tgcom24.mediaset.it/quotazioni/quotazioni.asp?step=1&amp;action=ricerca&amp;codiceStrumento=u2ae&amp;titolo=TRENDEVICE" TargetMode="External"/><Relationship Id="rId25" Type="http://schemas.openxmlformats.org/officeDocument/2006/relationships/hyperlink" Target="http://finanza.tgcom24.mediaset.it/quotazioni/quotazioni.asp?step=1&amp;action=ricerca&amp;codiceStrumento=u2ae&amp;titolo=UNIDATA" TargetMode="External"/><Relationship Id="rId2" Type="http://schemas.openxmlformats.org/officeDocument/2006/relationships/styles" Target="styles.xml"/><Relationship Id="rId16" Type="http://schemas.openxmlformats.org/officeDocument/2006/relationships/hyperlink" Target="http://finanza.tgcom24.mediaset.it/quotazioni/quotazioni.asp?step=1&amp;action=ricerca&amp;codiceStrumento=u2ae&amp;titolo=OSAI%20AUTOMATION%20SYSTEM" TargetMode="External"/><Relationship Id="rId20" Type="http://schemas.openxmlformats.org/officeDocument/2006/relationships/hyperlink" Target="http://finanza.tgcom24.mediaset.it/quotazioni/quotazioni.asp?step=1&amp;action=ricerca&amp;codiceStrumento=u2ae&amp;titolo=FENIX%20ENTERTAINMEN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nanza.tgcom24.mediaset.it/quotazioni/quotazioni.asp?step=1&amp;action=ricerca&amp;codiceStrumento=u2ae&amp;titolo=PLANETEL" TargetMode="External"/><Relationship Id="rId11" Type="http://schemas.openxmlformats.org/officeDocument/2006/relationships/hyperlink" Target="http://finanza.tgcom24.mediaset.it/quotazioni/quotazioni.asp?step=1&amp;action=ricerca&amp;codiceStrumento=u2ae&amp;titolo=TENAX" TargetMode="External"/><Relationship Id="rId24" Type="http://schemas.openxmlformats.org/officeDocument/2006/relationships/hyperlink" Target="http://finanza.tgcom24.mediaset.it/quotazioni/quotazioni.asp?step=1&amp;action=ricerca&amp;codiceStrumento=u2ae&amp;titolo=SEBINO" TargetMode="External"/><Relationship Id="rId5" Type="http://schemas.openxmlformats.org/officeDocument/2006/relationships/image" Target="media/image1.tiff"/><Relationship Id="rId15" Type="http://schemas.openxmlformats.org/officeDocument/2006/relationships/hyperlink" Target="http://finanza.tgcom24.mediaset.it/quotazioni/quotazioni.asp?step=1&amp;action=ricerca&amp;codiceStrumento=u2ae&amp;titolo=EURO%20COSMETIC" TargetMode="External"/><Relationship Id="rId23" Type="http://schemas.openxmlformats.org/officeDocument/2006/relationships/hyperlink" Target="http://finanza.tgcom24.mediaset.it/quotazioni/quotazioni.asp?step=1&amp;action=ricerca&amp;codiceStrumento=u2ae&amp;titolo=CY4GAT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inanza.tgcom24.mediaset.it/quotazioni/quotazioni.asp?step=1&amp;action=ricerca&amp;codiceStrumento=u2ae&amp;titolo=IGEAMED" TargetMode="External"/><Relationship Id="rId19" Type="http://schemas.openxmlformats.org/officeDocument/2006/relationships/hyperlink" Target="http://finanza.tgcom24.mediaset.it/quotazioni/quotazioni.asp?step=1&amp;action=ricerca&amp;codiceStrumento=u2ae&amp;titolo=LABOM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anza.tgcom24.mediaset.it/quotazioni/quotazioni.asp?step=1&amp;action=ricerca&amp;codiceStrumento=u2ae&amp;titolo=MIT%20SIM" TargetMode="External"/><Relationship Id="rId14" Type="http://schemas.openxmlformats.org/officeDocument/2006/relationships/hyperlink" Target="http://finanza.tgcom24.mediaset.it/quotazioni/quotazioni.asp?step=1&amp;action=ricerca&amp;codiceStrumento=u2ae&amp;titolo=TECMA%20SOLUTIONS" TargetMode="External"/><Relationship Id="rId22" Type="http://schemas.openxmlformats.org/officeDocument/2006/relationships/hyperlink" Target="http://finanza.tgcom24.mediaset.it/quotazioni/quotazioni.asp?step=1&amp;action=ricerca&amp;codiceStrumento=u2ae&amp;titolo=FABILIA" TargetMode="External"/><Relationship Id="rId27" Type="http://schemas.openxmlformats.org/officeDocument/2006/relationships/hyperlink" Target="http://finanza.tgcom24.mediaset.it/quotazioni/quotazioni.asp?step=1&amp;action=ricerca&amp;codiceStrumento=u2ae&amp;titolo=INDUSTRIE%20CHIMICHE%20FOREST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 Stefano Antonio</cp:lastModifiedBy>
  <cp:revision>2</cp:revision>
  <dcterms:created xsi:type="dcterms:W3CDTF">2021-01-08T10:23:00Z</dcterms:created>
  <dcterms:modified xsi:type="dcterms:W3CDTF">2021-01-08T10:23:00Z</dcterms:modified>
</cp:coreProperties>
</file>