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8E5" w:rsidRDefault="009F38E5">
      <w:bookmarkStart w:id="0" w:name="_GoBack"/>
      <w:bookmarkEnd w:id="0"/>
    </w:p>
    <w:p w:rsidR="009F38E5" w:rsidRDefault="009F38E5">
      <w:r w:rsidRPr="009F38E5">
        <w:rPr>
          <w:noProof/>
          <w:lang w:eastAsia="it-IT"/>
        </w:rPr>
        <w:drawing>
          <wp:inline distT="0" distB="0" distL="0" distR="0" wp14:anchorId="5D884EFF" wp14:editId="5673134D">
            <wp:extent cx="3107490" cy="751363"/>
            <wp:effectExtent l="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50081" cy="761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8E5" w:rsidRDefault="009F38E5"/>
    <w:p w:rsidR="00967CCA" w:rsidRDefault="00967CCA"/>
    <w:p w:rsidR="00967CCA" w:rsidRDefault="00967CCA"/>
    <w:p w:rsidR="00967CCA" w:rsidRDefault="00967CCA" w:rsidP="00967CCA">
      <w:pPr>
        <w:pStyle w:val="Titolo1"/>
        <w:shd w:val="clear" w:color="auto" w:fill="FFFFFF"/>
        <w:spacing w:before="0" w:beforeAutospacing="0" w:after="0" w:afterAutospacing="0"/>
        <w:rPr>
          <w:rFonts w:ascii="Arial" w:hAnsi="Arial" w:cs="Arial"/>
          <w:caps/>
          <w:color w:val="001846"/>
          <w:sz w:val="30"/>
          <w:szCs w:val="30"/>
        </w:rPr>
      </w:pPr>
      <w:r>
        <w:rPr>
          <w:rFonts w:ascii="Arial" w:hAnsi="Arial" w:cs="Arial"/>
          <w:caps/>
          <w:color w:val="001846"/>
          <w:sz w:val="30"/>
          <w:szCs w:val="30"/>
        </w:rPr>
        <w:t>AIM ITALIA: 23 AMMISSIONI IN 2020, RACCOLTA PARI A 136 MLN</w:t>
      </w:r>
    </w:p>
    <w:p w:rsidR="00967CCA" w:rsidRDefault="00967CCA" w:rsidP="00967CCA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04/01/2021 12:01</w:t>
      </w:r>
    </w:p>
    <w:p w:rsidR="00967CCA" w:rsidRDefault="00967CCA" w:rsidP="00967CCA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967CCA" w:rsidRDefault="00967CCA" w:rsidP="00967CCA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967CCA" w:rsidRDefault="00967CCA" w:rsidP="00967CCA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MILANO (MF-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DJ)--</w:t>
      </w:r>
      <w:proofErr w:type="spellStart"/>
      <w:proofErr w:type="gramEnd"/>
      <w:r>
        <w:rPr>
          <w:rFonts w:ascii="Arial" w:hAnsi="Arial" w:cs="Arial"/>
          <w:color w:val="000000"/>
          <w:sz w:val="20"/>
          <w:szCs w:val="20"/>
        </w:rPr>
        <w:t>Aim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Italia nel 2020 ha evidenziato il maggior numero di collocamenti rispetto al mercato principale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), nonostante gli effetti dell'emergenza Covid-19, confermando il trend registrato negli ultimi anni. E' quanto emerge da un'analisti di IR Top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Consulting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boutique finanziaria specializzata sui Capital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Markets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 nell'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Advisory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per la quotazione, IPO Partner di Borsa Italiana. Nel 2020, spiega una nota, il mercato per la crescita delle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Pmi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conta 23 ammissioni, di cui 21 nuove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Ipo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 2 altre ammissioni, in ridimensionamento rispetto al 2019 (35 quotazioni, di cui 31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Ipo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e 4 ammissioni post business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combination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). I collocamenti si sono concentrati nella seconda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meta'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dell'anno, principalmente tra ottobre e dicembre. In particolare, sono approdate sul listino dedicato alla crescita delle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Pmi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 </w:t>
      </w:r>
      <w:hyperlink r:id="rId6" w:history="1">
        <w:r>
          <w:rPr>
            <w:rStyle w:val="Collegamentoipertestuale"/>
            <w:rFonts w:ascii="Arial" w:hAnsi="Arial" w:cs="Arial"/>
            <w:color w:val="001846"/>
            <w:sz w:val="20"/>
            <w:szCs w:val="20"/>
            <w:u w:val="none"/>
          </w:rPr>
          <w:t>Planetel</w:t>
        </w:r>
      </w:hyperlink>
      <w:r>
        <w:rPr>
          <w:rFonts w:ascii="Arial" w:hAnsi="Arial" w:cs="Arial"/>
          <w:color w:val="000000"/>
          <w:sz w:val="20"/>
          <w:szCs w:val="20"/>
        </w:rPr>
        <w:t>, </w:t>
      </w:r>
      <w:hyperlink r:id="rId7" w:history="1">
        <w:r>
          <w:rPr>
            <w:rStyle w:val="Collegamentoipertestuale"/>
            <w:rFonts w:ascii="Arial" w:hAnsi="Arial" w:cs="Arial"/>
            <w:color w:val="001846"/>
            <w:sz w:val="20"/>
            <w:szCs w:val="20"/>
            <w:u w:val="none"/>
          </w:rPr>
          <w:t>eVISO</w:t>
        </w:r>
      </w:hyperlink>
      <w:r>
        <w:rPr>
          <w:rFonts w:ascii="Arial" w:hAnsi="Arial" w:cs="Arial"/>
          <w:color w:val="000000"/>
          <w:sz w:val="20"/>
          <w:szCs w:val="20"/>
        </w:rPr>
        <w:t>, </w:t>
      </w:r>
      <w:hyperlink r:id="rId8" w:history="1">
        <w:r>
          <w:rPr>
            <w:rStyle w:val="Collegamentoipertestuale"/>
            <w:rFonts w:ascii="Arial" w:hAnsi="Arial" w:cs="Arial"/>
            <w:color w:val="001846"/>
            <w:sz w:val="20"/>
            <w:szCs w:val="20"/>
            <w:u w:val="none"/>
          </w:rPr>
          <w:t>Convergenze</w:t>
        </w:r>
      </w:hyperlink>
      <w:r>
        <w:rPr>
          <w:rFonts w:ascii="Arial" w:hAnsi="Arial" w:cs="Arial"/>
          <w:color w:val="000000"/>
          <w:sz w:val="20"/>
          <w:szCs w:val="20"/>
        </w:rPr>
        <w:t>, </w:t>
      </w:r>
      <w:hyperlink r:id="rId9" w:history="1">
        <w:r>
          <w:rPr>
            <w:rStyle w:val="Collegamentoipertestuale"/>
            <w:rFonts w:ascii="Arial" w:hAnsi="Arial" w:cs="Arial"/>
            <w:color w:val="001846"/>
            <w:sz w:val="20"/>
            <w:szCs w:val="20"/>
            <w:u w:val="none"/>
          </w:rPr>
          <w:t>Mit Sim</w:t>
        </w:r>
      </w:hyperlink>
      <w:r>
        <w:rPr>
          <w:rFonts w:ascii="Arial" w:hAnsi="Arial" w:cs="Arial"/>
          <w:color w:val="000000"/>
          <w:sz w:val="20"/>
          <w:szCs w:val="20"/>
        </w:rPr>
        <w:t> (Aim Professional), </w:t>
      </w:r>
      <w:hyperlink r:id="rId10" w:history="1">
        <w:r>
          <w:rPr>
            <w:rStyle w:val="Collegamentoipertestuale"/>
            <w:rFonts w:ascii="Arial" w:hAnsi="Arial" w:cs="Arial"/>
            <w:color w:val="001846"/>
            <w:sz w:val="20"/>
            <w:szCs w:val="20"/>
            <w:u w:val="none"/>
          </w:rPr>
          <w:t>Igeamed</w:t>
        </w:r>
      </w:hyperlink>
      <w:r>
        <w:rPr>
          <w:rFonts w:ascii="Arial" w:hAnsi="Arial" w:cs="Arial"/>
          <w:color w:val="000000"/>
          <w:sz w:val="20"/>
          <w:szCs w:val="20"/>
        </w:rPr>
        <w:t> (Aim Professional), </w:t>
      </w:r>
      <w:hyperlink r:id="rId11" w:history="1">
        <w:r>
          <w:rPr>
            <w:rStyle w:val="Collegamentoipertestuale"/>
            <w:rFonts w:ascii="Arial" w:hAnsi="Arial" w:cs="Arial"/>
            <w:color w:val="001846"/>
            <w:sz w:val="20"/>
            <w:szCs w:val="20"/>
            <w:u w:val="none"/>
          </w:rPr>
          <w:t>Tenax</w:t>
        </w:r>
      </w:hyperlink>
      <w:r>
        <w:rPr>
          <w:rFonts w:ascii="Arial" w:hAnsi="Arial" w:cs="Arial"/>
          <w:color w:val="000000"/>
          <w:sz w:val="20"/>
          <w:szCs w:val="20"/>
        </w:rPr>
        <w:t> International, </w:t>
      </w:r>
      <w:hyperlink r:id="rId12" w:history="1">
        <w:r>
          <w:rPr>
            <w:rStyle w:val="Collegamentoipertestuale"/>
            <w:rFonts w:ascii="Arial" w:hAnsi="Arial" w:cs="Arial"/>
            <w:color w:val="001846"/>
            <w:sz w:val="20"/>
            <w:szCs w:val="20"/>
            <w:u w:val="none"/>
          </w:rPr>
          <w:t>Comal</w:t>
        </w:r>
      </w:hyperlink>
      <w:r>
        <w:rPr>
          <w:rFonts w:ascii="Arial" w:hAnsi="Arial" w:cs="Arial"/>
          <w:color w:val="000000"/>
          <w:sz w:val="20"/>
          <w:szCs w:val="20"/>
        </w:rPr>
        <w:t>, </w:t>
      </w:r>
      <w:hyperlink r:id="rId13" w:history="1">
        <w:r>
          <w:rPr>
            <w:rStyle w:val="Collegamentoipertestuale"/>
            <w:rFonts w:ascii="Arial" w:hAnsi="Arial" w:cs="Arial"/>
            <w:color w:val="001846"/>
            <w:sz w:val="20"/>
            <w:szCs w:val="20"/>
            <w:u w:val="none"/>
          </w:rPr>
          <w:t>Promotica</w:t>
        </w:r>
      </w:hyperlink>
      <w:r>
        <w:rPr>
          <w:rFonts w:ascii="Arial" w:hAnsi="Arial" w:cs="Arial"/>
          <w:color w:val="000000"/>
          <w:sz w:val="20"/>
          <w:szCs w:val="20"/>
        </w:rPr>
        <w:t>, </w:t>
      </w:r>
      <w:hyperlink r:id="rId14" w:history="1">
        <w:r>
          <w:rPr>
            <w:rStyle w:val="Collegamentoipertestuale"/>
            <w:rFonts w:ascii="Arial" w:hAnsi="Arial" w:cs="Arial"/>
            <w:color w:val="001846"/>
            <w:sz w:val="20"/>
            <w:szCs w:val="20"/>
            <w:u w:val="none"/>
          </w:rPr>
          <w:t>Tecma Solutions</w:t>
        </w:r>
      </w:hyperlink>
      <w:r>
        <w:rPr>
          <w:rFonts w:ascii="Arial" w:hAnsi="Arial" w:cs="Arial"/>
          <w:color w:val="000000"/>
          <w:sz w:val="20"/>
          <w:szCs w:val="20"/>
        </w:rPr>
        <w:t>, </w:t>
      </w:r>
      <w:hyperlink r:id="rId15" w:history="1">
        <w:r>
          <w:rPr>
            <w:rStyle w:val="Collegamentoipertestuale"/>
            <w:rFonts w:ascii="Arial" w:hAnsi="Arial" w:cs="Arial"/>
            <w:color w:val="001846"/>
            <w:sz w:val="20"/>
            <w:szCs w:val="20"/>
            <w:u w:val="none"/>
          </w:rPr>
          <w:t>Euro Cosmetic</w:t>
        </w:r>
      </w:hyperlink>
      <w:r>
        <w:rPr>
          <w:rFonts w:ascii="Arial" w:hAnsi="Arial" w:cs="Arial"/>
          <w:color w:val="000000"/>
          <w:sz w:val="20"/>
          <w:szCs w:val="20"/>
        </w:rPr>
        <w:t>, </w:t>
      </w:r>
      <w:hyperlink r:id="rId16" w:history="1">
        <w:r>
          <w:rPr>
            <w:rStyle w:val="Collegamentoipertestuale"/>
            <w:rFonts w:ascii="Arial" w:hAnsi="Arial" w:cs="Arial"/>
            <w:color w:val="001846"/>
            <w:sz w:val="20"/>
            <w:szCs w:val="20"/>
            <w:u w:val="none"/>
          </w:rPr>
          <w:t>Osai</w:t>
        </w:r>
      </w:hyperlink>
      <w:r>
        <w:rPr>
          <w:rFonts w:ascii="Arial" w:hAnsi="Arial" w:cs="Arial"/>
          <w:color w:val="000000"/>
          <w:sz w:val="20"/>
          <w:szCs w:val="20"/>
        </w:rPr>
        <w:t> Automation System, </w:t>
      </w:r>
      <w:hyperlink r:id="rId17" w:history="1">
        <w:r>
          <w:rPr>
            <w:rStyle w:val="Collegamentoipertestuale"/>
            <w:rFonts w:ascii="Arial" w:hAnsi="Arial" w:cs="Arial"/>
            <w:color w:val="001846"/>
            <w:sz w:val="20"/>
            <w:szCs w:val="20"/>
            <w:u w:val="none"/>
          </w:rPr>
          <w:t>Trendevice</w:t>
        </w:r>
      </w:hyperlink>
      <w:r>
        <w:rPr>
          <w:rFonts w:ascii="Arial" w:hAnsi="Arial" w:cs="Arial"/>
          <w:color w:val="000000"/>
          <w:sz w:val="20"/>
          <w:szCs w:val="20"/>
        </w:rPr>
        <w:t>, </w:t>
      </w:r>
      <w:hyperlink r:id="rId18" w:history="1">
        <w:r>
          <w:rPr>
            <w:rStyle w:val="Collegamentoipertestuale"/>
            <w:rFonts w:ascii="Arial" w:hAnsi="Arial" w:cs="Arial"/>
            <w:color w:val="001846"/>
            <w:sz w:val="20"/>
            <w:szCs w:val="20"/>
            <w:u w:val="none"/>
          </w:rPr>
          <w:t>ESI</w:t>
        </w:r>
      </w:hyperlink>
      <w:r>
        <w:rPr>
          <w:rFonts w:ascii="Arial" w:hAnsi="Arial" w:cs="Arial"/>
          <w:color w:val="000000"/>
          <w:sz w:val="20"/>
          <w:szCs w:val="20"/>
        </w:rPr>
        <w:t>, </w:t>
      </w:r>
      <w:hyperlink r:id="rId19" w:history="1">
        <w:r>
          <w:rPr>
            <w:rStyle w:val="Collegamentoipertestuale"/>
            <w:rFonts w:ascii="Arial" w:hAnsi="Arial" w:cs="Arial"/>
            <w:color w:val="001846"/>
            <w:sz w:val="20"/>
            <w:szCs w:val="20"/>
            <w:u w:val="none"/>
          </w:rPr>
          <w:t>Labomar</w:t>
        </w:r>
      </w:hyperlink>
      <w:r>
        <w:rPr>
          <w:rFonts w:ascii="Arial" w:hAnsi="Arial" w:cs="Arial"/>
          <w:color w:val="000000"/>
          <w:sz w:val="20"/>
          <w:szCs w:val="20"/>
        </w:rPr>
        <w:t>, Reti, </w:t>
      </w:r>
      <w:hyperlink r:id="rId20" w:history="1">
        <w:r>
          <w:rPr>
            <w:rStyle w:val="Collegamentoipertestuale"/>
            <w:rFonts w:ascii="Arial" w:hAnsi="Arial" w:cs="Arial"/>
            <w:color w:val="001846"/>
            <w:sz w:val="20"/>
            <w:szCs w:val="20"/>
            <w:u w:val="none"/>
          </w:rPr>
          <w:t>Fenix Entertainment</w:t>
        </w:r>
      </w:hyperlink>
      <w:r>
        <w:rPr>
          <w:rFonts w:ascii="Arial" w:hAnsi="Arial" w:cs="Arial"/>
          <w:color w:val="000000"/>
          <w:sz w:val="20"/>
          <w:szCs w:val="20"/>
        </w:rPr>
        <w:t> 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Aim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Professional), </w:t>
      </w:r>
      <w:hyperlink r:id="rId21" w:history="1">
        <w:r>
          <w:rPr>
            <w:rStyle w:val="Collegamentoipertestuale"/>
            <w:rFonts w:ascii="Arial" w:hAnsi="Arial" w:cs="Arial"/>
            <w:color w:val="001846"/>
            <w:sz w:val="20"/>
            <w:szCs w:val="20"/>
            <w:u w:val="none"/>
          </w:rPr>
          <w:t>Sourcesense</w:t>
        </w:r>
      </w:hyperlink>
      <w:r>
        <w:rPr>
          <w:rFonts w:ascii="Arial" w:hAnsi="Arial" w:cs="Arial"/>
          <w:color w:val="000000"/>
          <w:sz w:val="20"/>
          <w:szCs w:val="20"/>
        </w:rPr>
        <w:t>, </w:t>
      </w:r>
      <w:hyperlink r:id="rId22" w:history="1">
        <w:r>
          <w:rPr>
            <w:rStyle w:val="Collegamentoipertestuale"/>
            <w:rFonts w:ascii="Arial" w:hAnsi="Arial" w:cs="Arial"/>
            <w:color w:val="001846"/>
            <w:sz w:val="20"/>
            <w:szCs w:val="20"/>
            <w:u w:val="none"/>
          </w:rPr>
          <w:t>Fabilia</w:t>
        </w:r>
      </w:hyperlink>
      <w:r>
        <w:rPr>
          <w:rFonts w:ascii="Arial" w:hAnsi="Arial" w:cs="Arial"/>
          <w:color w:val="000000"/>
          <w:sz w:val="20"/>
          <w:szCs w:val="20"/>
        </w:rPr>
        <w:t> Group, </w:t>
      </w:r>
      <w:hyperlink r:id="rId23" w:history="1">
        <w:r>
          <w:rPr>
            <w:rStyle w:val="Collegamentoipertestuale"/>
            <w:rFonts w:ascii="Arial" w:hAnsi="Arial" w:cs="Arial"/>
            <w:color w:val="001846"/>
            <w:sz w:val="20"/>
            <w:szCs w:val="20"/>
            <w:u w:val="none"/>
          </w:rPr>
          <w:t>Cy4gate</w:t>
        </w:r>
      </w:hyperlink>
      <w:r>
        <w:rPr>
          <w:rFonts w:ascii="Arial" w:hAnsi="Arial" w:cs="Arial"/>
          <w:color w:val="000000"/>
          <w:sz w:val="20"/>
          <w:szCs w:val="20"/>
        </w:rPr>
        <w:t>, </w:t>
      </w:r>
      <w:hyperlink r:id="rId24" w:history="1">
        <w:r>
          <w:rPr>
            <w:rStyle w:val="Collegamentoipertestuale"/>
            <w:rFonts w:ascii="Arial" w:hAnsi="Arial" w:cs="Arial"/>
            <w:color w:val="001846"/>
            <w:sz w:val="20"/>
            <w:szCs w:val="20"/>
            <w:u w:val="none"/>
          </w:rPr>
          <w:t>Sebino</w:t>
        </w:r>
      </w:hyperlink>
      <w:r>
        <w:rPr>
          <w:rFonts w:ascii="Arial" w:hAnsi="Arial" w:cs="Arial"/>
          <w:color w:val="000000"/>
          <w:sz w:val="20"/>
          <w:szCs w:val="20"/>
        </w:rPr>
        <w:t>, </w:t>
      </w:r>
      <w:hyperlink r:id="rId25" w:history="1">
        <w:r>
          <w:rPr>
            <w:rStyle w:val="Collegamentoipertestuale"/>
            <w:rFonts w:ascii="Arial" w:hAnsi="Arial" w:cs="Arial"/>
            <w:color w:val="001846"/>
            <w:sz w:val="20"/>
            <w:szCs w:val="20"/>
            <w:u w:val="none"/>
          </w:rPr>
          <w:t>Unidata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. Inoltre, sono state ammesse 2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societa'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 seguito di operazioni di fusione con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societa'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precedentemente quotate sul listino: Franco Umberto Marmi (business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combination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con </w:t>
      </w:r>
      <w:hyperlink r:id="rId26" w:history="1">
        <w:r>
          <w:rPr>
            <w:rStyle w:val="Collegamentoipertestuale"/>
            <w:rFonts w:ascii="Arial" w:hAnsi="Arial" w:cs="Arial"/>
            <w:color w:val="001846"/>
            <w:sz w:val="20"/>
            <w:szCs w:val="20"/>
            <w:u w:val="none"/>
          </w:rPr>
          <w:t>TheSpac</w:t>
        </w:r>
      </w:hyperlink>
      <w:r>
        <w:rPr>
          <w:rFonts w:ascii="Arial" w:hAnsi="Arial" w:cs="Arial"/>
          <w:color w:val="000000"/>
          <w:sz w:val="20"/>
          <w:szCs w:val="20"/>
        </w:rPr>
        <w:t>) e </w:t>
      </w:r>
      <w:hyperlink r:id="rId27" w:history="1">
        <w:r>
          <w:rPr>
            <w:rStyle w:val="Collegamentoipertestuale"/>
            <w:rFonts w:ascii="Arial" w:hAnsi="Arial" w:cs="Arial"/>
            <w:color w:val="001846"/>
            <w:sz w:val="20"/>
            <w:szCs w:val="20"/>
            <w:u w:val="none"/>
          </w:rPr>
          <w:t>Industrie Chimiche Forestali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. Le 21 nuove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Ipo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hanno raccolto 136 milioni di euro (207 milioni di euro nel 2019). La capitalizzazione totale 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Ipo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e'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pari a 513 milioni di euro e la raccolta media nel 2020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e'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stata pari a 6,5 milioni di euro, superiore al 2019 (5,9 milioni di euro in media) e il flottante 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Ipo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e'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stato pari al 25%, in linea con il dato registrato dalle IPO nel 2019 (24%). Le nuove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Ipo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provengono per il 38% dalla Lombardia, il 33% dal Lazio, il 9,5% dall'Emilia Romagna e il 9,5% dal Piemonte. Seguono Veneto e Campania, ciascuna rispettivamente con una IPO (4,8%). In termini di raccolta di capitali, si collocano ai primi posti Lazio (32%), Lombardia (29%) e Veneto (22%). Il 76% delle nuove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Ipo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si concentra su 4 settori, secondo la classificazione elaborata dall'ufficio studi IR Top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Consulting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Tecnologia (5 aziende, 24%), Servizi (5 aziende, 24%), Energia ed Energie Rinnovabili (3, 14%), Telecomunicazioni (3, 14%) e Industria (2, 10%), seguono Media &amp; Entertainment, Finanza ed Healthcare (rispettivamente con 1 azienda, 5%). Presentano ricavi medi pari a 21 milioni di euro e otto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societa'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(38% sul totale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Ipo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sono PMI innovative. L'utilizzo del capitale in quotazione ha riguardato principalmente 3 linee di sviluppo: il rafforzamento delle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attivita'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di R&amp;D, l'espansione su mercati internazionali e l'incremento della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capacita'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produttiva. Dalla data di quotazione, la performance media delle IPO 2020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e'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stata del +42%.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com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marco.fusi@mfdowjones.it (fine MF-DJ NEWS</w:t>
      </w:r>
    </w:p>
    <w:p w:rsidR="00967CCA" w:rsidRDefault="00967CCA"/>
    <w:sectPr w:rsidR="00967CCA" w:rsidSect="002D3EB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94746"/>
    <w:multiLevelType w:val="multilevel"/>
    <w:tmpl w:val="34F4B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E5"/>
    <w:rsid w:val="002D3EBA"/>
    <w:rsid w:val="00967CCA"/>
    <w:rsid w:val="009F38E5"/>
    <w:rsid w:val="00D44F44"/>
    <w:rsid w:val="00E1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B1D3B-DE73-F24C-A73D-6A2EE64D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F38E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F38E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floatl">
    <w:name w:val="floatl"/>
    <w:basedOn w:val="Carpredefinitoparagrafo"/>
    <w:rsid w:val="009F38E5"/>
  </w:style>
  <w:style w:type="character" w:styleId="Collegamentoipertestuale">
    <w:name w:val="Hyperlink"/>
    <w:basedOn w:val="Carpredefinitoparagrafo"/>
    <w:uiPriority w:val="99"/>
    <w:semiHidden/>
    <w:unhideWhenUsed/>
    <w:rsid w:val="009F38E5"/>
    <w:rPr>
      <w:color w:val="0000FF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9F38E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9F38E5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titlogb">
    <w:name w:val="titlogb"/>
    <w:basedOn w:val="Carpredefinitoparagrafo"/>
    <w:rsid w:val="009F38E5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9F38E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9F38E5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dexcd">
    <w:name w:val="indexcd"/>
    <w:basedOn w:val="Carpredefinitoparagrafo"/>
    <w:rsid w:val="009F38E5"/>
  </w:style>
  <w:style w:type="paragraph" w:customStyle="1" w:styleId="num">
    <w:name w:val="num"/>
    <w:basedOn w:val="Normale"/>
    <w:rsid w:val="009F38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3r">
    <w:name w:val="t3r"/>
    <w:basedOn w:val="Carpredefinitoparagrafo"/>
    <w:rsid w:val="009F3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7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9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1C1C1"/>
                            <w:left w:val="none" w:sz="0" w:space="8" w:color="C1C1C1"/>
                            <w:bottom w:val="single" w:sz="6" w:space="4" w:color="C1C1C1"/>
                            <w:right w:val="none" w:sz="0" w:space="0" w:color="C1C1C1"/>
                          </w:divBdr>
                          <w:divsChild>
                            <w:div w:id="131171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9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20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22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59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anza.tgcom24.mediaset.it/quotazioni/quotazioni.asp?step=1&amp;action=ricerca&amp;codiceStrumento=u2ae&amp;titolo=CONVERGENZE" TargetMode="External"/><Relationship Id="rId13" Type="http://schemas.openxmlformats.org/officeDocument/2006/relationships/hyperlink" Target="http://finanza.tgcom24.mediaset.it/quotazioni/quotazioni.asp?step=1&amp;action=ricerca&amp;codiceStrumento=u2ae&amp;titolo=PROMOTICA" TargetMode="External"/><Relationship Id="rId18" Type="http://schemas.openxmlformats.org/officeDocument/2006/relationships/hyperlink" Target="http://finanza.tgcom24.mediaset.it/quotazioni/quotazioni.asp?step=1&amp;action=ricerca&amp;codiceStrumento=u2ae&amp;titolo=ESI" TargetMode="External"/><Relationship Id="rId26" Type="http://schemas.openxmlformats.org/officeDocument/2006/relationships/hyperlink" Target="http://finanza.tgcom24.mediaset.it/quotazioni/quotazioni.asp?step=1&amp;action=ricerca&amp;codiceStrumento=u2ae&amp;titolo=FRANCHI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inanza.tgcom24.mediaset.it/quotazioni/quotazioni.asp?step=1&amp;action=ricerca&amp;codiceStrumento=u2ae&amp;titolo=SOURCESENSE" TargetMode="External"/><Relationship Id="rId7" Type="http://schemas.openxmlformats.org/officeDocument/2006/relationships/hyperlink" Target="http://finanza.tgcom24.mediaset.it/quotazioni/quotazioni.asp?step=1&amp;action=ricerca&amp;codiceStrumento=u2ae&amp;titolo=EVISO" TargetMode="External"/><Relationship Id="rId12" Type="http://schemas.openxmlformats.org/officeDocument/2006/relationships/hyperlink" Target="http://finanza.tgcom24.mediaset.it/quotazioni/quotazioni.asp?step=1&amp;action=ricerca&amp;codiceStrumento=u2ae&amp;titolo=COMAL" TargetMode="External"/><Relationship Id="rId17" Type="http://schemas.openxmlformats.org/officeDocument/2006/relationships/hyperlink" Target="http://finanza.tgcom24.mediaset.it/quotazioni/quotazioni.asp?step=1&amp;action=ricerca&amp;codiceStrumento=u2ae&amp;titolo=TRENDEVICE" TargetMode="External"/><Relationship Id="rId25" Type="http://schemas.openxmlformats.org/officeDocument/2006/relationships/hyperlink" Target="http://finanza.tgcom24.mediaset.it/quotazioni/quotazioni.asp?step=1&amp;action=ricerca&amp;codiceStrumento=u2ae&amp;titolo=UNIDATA" TargetMode="External"/><Relationship Id="rId2" Type="http://schemas.openxmlformats.org/officeDocument/2006/relationships/styles" Target="styles.xml"/><Relationship Id="rId16" Type="http://schemas.openxmlformats.org/officeDocument/2006/relationships/hyperlink" Target="http://finanza.tgcom24.mediaset.it/quotazioni/quotazioni.asp?step=1&amp;action=ricerca&amp;codiceStrumento=u2ae&amp;titolo=OSAI%20AUTOMATION%20SYSTEM" TargetMode="External"/><Relationship Id="rId20" Type="http://schemas.openxmlformats.org/officeDocument/2006/relationships/hyperlink" Target="http://finanza.tgcom24.mediaset.it/quotazioni/quotazioni.asp?step=1&amp;action=ricerca&amp;codiceStrumento=u2ae&amp;titolo=FENIX%20ENTERTAINMENT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inanza.tgcom24.mediaset.it/quotazioni/quotazioni.asp?step=1&amp;action=ricerca&amp;codiceStrumento=u2ae&amp;titolo=PLANETEL" TargetMode="External"/><Relationship Id="rId11" Type="http://schemas.openxmlformats.org/officeDocument/2006/relationships/hyperlink" Target="http://finanza.tgcom24.mediaset.it/quotazioni/quotazioni.asp?step=1&amp;action=ricerca&amp;codiceStrumento=u2ae&amp;titolo=TENAX" TargetMode="External"/><Relationship Id="rId24" Type="http://schemas.openxmlformats.org/officeDocument/2006/relationships/hyperlink" Target="http://finanza.tgcom24.mediaset.it/quotazioni/quotazioni.asp?step=1&amp;action=ricerca&amp;codiceStrumento=u2ae&amp;titolo=SEBINO" TargetMode="External"/><Relationship Id="rId5" Type="http://schemas.openxmlformats.org/officeDocument/2006/relationships/image" Target="media/image1.tiff"/><Relationship Id="rId15" Type="http://schemas.openxmlformats.org/officeDocument/2006/relationships/hyperlink" Target="http://finanza.tgcom24.mediaset.it/quotazioni/quotazioni.asp?step=1&amp;action=ricerca&amp;codiceStrumento=u2ae&amp;titolo=EURO%20COSMETIC" TargetMode="External"/><Relationship Id="rId23" Type="http://schemas.openxmlformats.org/officeDocument/2006/relationships/hyperlink" Target="http://finanza.tgcom24.mediaset.it/quotazioni/quotazioni.asp?step=1&amp;action=ricerca&amp;codiceStrumento=u2ae&amp;titolo=CY4GAT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finanza.tgcom24.mediaset.it/quotazioni/quotazioni.asp?step=1&amp;action=ricerca&amp;codiceStrumento=u2ae&amp;titolo=IGEAMED" TargetMode="External"/><Relationship Id="rId19" Type="http://schemas.openxmlformats.org/officeDocument/2006/relationships/hyperlink" Target="http://finanza.tgcom24.mediaset.it/quotazioni/quotazioni.asp?step=1&amp;action=ricerca&amp;codiceStrumento=u2ae&amp;titolo=LABOM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nanza.tgcom24.mediaset.it/quotazioni/quotazioni.asp?step=1&amp;action=ricerca&amp;codiceStrumento=u2ae&amp;titolo=MIT%20SIM" TargetMode="External"/><Relationship Id="rId14" Type="http://schemas.openxmlformats.org/officeDocument/2006/relationships/hyperlink" Target="http://finanza.tgcom24.mediaset.it/quotazioni/quotazioni.asp?step=1&amp;action=ricerca&amp;codiceStrumento=u2ae&amp;titolo=TECMA%20SOLUTIONS" TargetMode="External"/><Relationship Id="rId22" Type="http://schemas.openxmlformats.org/officeDocument/2006/relationships/hyperlink" Target="http://finanza.tgcom24.mediaset.it/quotazioni/quotazioni.asp?step=1&amp;action=ricerca&amp;codiceStrumento=u2ae&amp;titolo=FABILIA" TargetMode="External"/><Relationship Id="rId27" Type="http://schemas.openxmlformats.org/officeDocument/2006/relationships/hyperlink" Target="http://finanza.tgcom24.mediaset.it/quotazioni/quotazioni.asp?step=1&amp;action=ricerca&amp;codiceStrumento=u2ae&amp;titolo=INDUSTRIE%20CHIMICHE%20FORESTAL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 Stefano Antonio</cp:lastModifiedBy>
  <cp:revision>2</cp:revision>
  <dcterms:created xsi:type="dcterms:W3CDTF">2021-01-08T10:23:00Z</dcterms:created>
  <dcterms:modified xsi:type="dcterms:W3CDTF">2021-01-08T10:23:00Z</dcterms:modified>
</cp:coreProperties>
</file>