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29" w:rsidRPr="00594F29" w:rsidRDefault="00594F29" w:rsidP="00594F29">
      <w:pPr>
        <w:spacing w:before="100" w:beforeAutospacing="1" w:after="100" w:afterAutospacing="1"/>
        <w:outlineLvl w:val="0"/>
        <w:rPr>
          <w:rFonts w:ascii="SolferinoText-Light" w:eastAsia="Times New Roman" w:hAnsi="SolferinoText-Light" w:cs="Times New Roman"/>
          <w:color w:val="0A0A0A"/>
          <w:kern w:val="36"/>
          <w:sz w:val="36"/>
          <w:szCs w:val="36"/>
          <w:lang w:eastAsia="it-IT"/>
        </w:rPr>
      </w:pPr>
      <w:bookmarkStart w:id="0" w:name="_GoBack"/>
      <w:bookmarkEnd w:id="0"/>
      <w:r>
        <w:rPr>
          <w:rFonts w:ascii="SolferinoText-Regular" w:eastAsia="Times New Roman" w:hAnsi="SolferinoText-Regular" w:cs="Times New Roman"/>
          <w:b/>
          <w:bCs/>
          <w:color w:val="0A0A0A"/>
          <w:sz w:val="36"/>
          <w:szCs w:val="36"/>
          <w:lang w:eastAsia="it-IT"/>
        </w:rPr>
        <w:t>Corriere.it</w:t>
      </w:r>
    </w:p>
    <w:p w:rsidR="00594F29" w:rsidRPr="00594F29" w:rsidRDefault="00594F29" w:rsidP="00594F29">
      <w:pPr>
        <w:spacing w:before="100" w:beforeAutospacing="1" w:after="100" w:afterAutospacing="1"/>
        <w:outlineLvl w:val="0"/>
        <w:rPr>
          <w:rFonts w:ascii="SolferinoText-Light" w:eastAsia="Times New Roman" w:hAnsi="SolferinoText-Light" w:cs="Times New Roman"/>
          <w:color w:val="0A0A0A"/>
          <w:kern w:val="36"/>
          <w:sz w:val="48"/>
          <w:szCs w:val="48"/>
          <w:lang w:eastAsia="it-IT"/>
        </w:rPr>
      </w:pPr>
      <w:proofErr w:type="spellStart"/>
      <w:r w:rsidRPr="00594F29">
        <w:rPr>
          <w:rFonts w:ascii="SolferinoText-Light" w:eastAsia="Times New Roman" w:hAnsi="SolferinoText-Light" w:cs="Times New Roman"/>
          <w:color w:val="0A0A0A"/>
          <w:kern w:val="36"/>
          <w:sz w:val="48"/>
          <w:szCs w:val="48"/>
          <w:lang w:eastAsia="it-IT"/>
        </w:rPr>
        <w:t>Aim</w:t>
      </w:r>
      <w:proofErr w:type="spellEnd"/>
      <w:r w:rsidRPr="00594F29">
        <w:rPr>
          <w:rFonts w:ascii="SolferinoText-Light" w:eastAsia="Times New Roman" w:hAnsi="SolferinoText-Light" w:cs="Times New Roman"/>
          <w:color w:val="0A0A0A"/>
          <w:kern w:val="36"/>
          <w:sz w:val="48"/>
          <w:szCs w:val="48"/>
          <w:lang w:eastAsia="it-IT"/>
        </w:rPr>
        <w:t xml:space="preserve">, confermate le agevolazioni fiscali per chi investe nelle </w:t>
      </w:r>
      <w:proofErr w:type="spellStart"/>
      <w:r w:rsidRPr="00594F29">
        <w:rPr>
          <w:rFonts w:ascii="SolferinoText-Light" w:eastAsia="Times New Roman" w:hAnsi="SolferinoText-Light" w:cs="Times New Roman"/>
          <w:color w:val="0A0A0A"/>
          <w:kern w:val="36"/>
          <w:sz w:val="48"/>
          <w:szCs w:val="48"/>
          <w:lang w:eastAsia="it-IT"/>
        </w:rPr>
        <w:t>Pmi</w:t>
      </w:r>
      <w:proofErr w:type="spellEnd"/>
      <w:r w:rsidRPr="00594F29">
        <w:rPr>
          <w:rFonts w:ascii="SolferinoText-Light" w:eastAsia="Times New Roman" w:hAnsi="SolferinoText-Light" w:cs="Times New Roman"/>
          <w:color w:val="0A0A0A"/>
          <w:kern w:val="36"/>
          <w:sz w:val="48"/>
          <w:szCs w:val="48"/>
          <w:lang w:eastAsia="it-IT"/>
        </w:rPr>
        <w:t xml:space="preserve"> innovative</w:t>
      </w:r>
    </w:p>
    <w:p w:rsidR="00594F29" w:rsidRDefault="00594F29" w:rsidP="00594F29">
      <w:pPr>
        <w:rPr>
          <w:rFonts w:ascii="BreraCondensed-Regular" w:eastAsia="Times New Roman" w:hAnsi="BreraCondensed-Regular" w:cs="Times New Roman"/>
          <w:spacing w:val="6"/>
          <w:lang w:eastAsia="it-IT"/>
        </w:rPr>
      </w:pPr>
      <w:proofErr w:type="gramStart"/>
      <w:r w:rsidRPr="00594F29">
        <w:rPr>
          <w:rFonts w:ascii="BreraCondensed-Regular" w:eastAsia="Times New Roman" w:hAnsi="BreraCondensed-Regular" w:cs="Times New Roman"/>
          <w:spacing w:val="6"/>
          <w:lang w:eastAsia="it-IT"/>
        </w:rPr>
        <w:t>di</w:t>
      </w:r>
      <w:proofErr w:type="gramEnd"/>
      <w:r w:rsidRPr="00594F29">
        <w:rPr>
          <w:rFonts w:ascii="BreraCondensed-Regular" w:eastAsia="Times New Roman" w:hAnsi="BreraCondensed-Regular" w:cs="Times New Roman"/>
          <w:spacing w:val="6"/>
          <w:lang w:eastAsia="it-IT"/>
        </w:rPr>
        <w:t> </w:t>
      </w:r>
      <w:r w:rsidRPr="00594F29">
        <w:rPr>
          <w:rFonts w:ascii="BreraCondensed-Bold" w:eastAsia="Times New Roman" w:hAnsi="BreraCondensed-Bold" w:cs="Times New Roman"/>
          <w:color w:val="0A0A0A"/>
          <w:spacing w:val="6"/>
          <w:lang w:eastAsia="it-IT"/>
        </w:rPr>
        <w:t xml:space="preserve">Diana </w:t>
      </w:r>
      <w:proofErr w:type="spellStart"/>
      <w:r w:rsidRPr="00594F29">
        <w:rPr>
          <w:rFonts w:ascii="BreraCondensed-Bold" w:eastAsia="Times New Roman" w:hAnsi="BreraCondensed-Bold" w:cs="Times New Roman"/>
          <w:color w:val="0A0A0A"/>
          <w:spacing w:val="6"/>
          <w:lang w:eastAsia="it-IT"/>
        </w:rPr>
        <w:t>Cavalcoli</w:t>
      </w:r>
      <w:proofErr w:type="spellEnd"/>
      <w:r>
        <w:rPr>
          <w:rFonts w:ascii="BreraCondensed-Bold" w:eastAsia="Times New Roman" w:hAnsi="BreraCondensed-Bold" w:cs="Times New Roman"/>
          <w:color w:val="0A0A0A"/>
          <w:spacing w:val="6"/>
          <w:lang w:eastAsia="it-IT"/>
        </w:rPr>
        <w:t xml:space="preserve"> </w:t>
      </w:r>
      <w:r w:rsidRPr="00594F29">
        <w:rPr>
          <w:rFonts w:ascii="BreraCondensed-Regular" w:eastAsia="Times New Roman" w:hAnsi="BreraCondensed-Regular" w:cs="Times New Roman"/>
          <w:spacing w:val="6"/>
          <w:lang w:eastAsia="it-IT"/>
        </w:rPr>
        <w:t xml:space="preserve">05 </w:t>
      </w:r>
      <w:proofErr w:type="spellStart"/>
      <w:r w:rsidRPr="00594F29">
        <w:rPr>
          <w:rFonts w:ascii="BreraCondensed-Regular" w:eastAsia="Times New Roman" w:hAnsi="BreraCondensed-Regular" w:cs="Times New Roman"/>
          <w:spacing w:val="6"/>
          <w:lang w:eastAsia="it-IT"/>
        </w:rPr>
        <w:t>gen</w:t>
      </w:r>
      <w:proofErr w:type="spellEnd"/>
      <w:r w:rsidRPr="00594F29">
        <w:rPr>
          <w:rFonts w:ascii="BreraCondensed-Regular" w:eastAsia="Times New Roman" w:hAnsi="BreraCondensed-Regular" w:cs="Times New Roman"/>
          <w:spacing w:val="6"/>
          <w:lang w:eastAsia="it-IT"/>
        </w:rPr>
        <w:t xml:space="preserve"> 2021</w:t>
      </w:r>
    </w:p>
    <w:p w:rsidR="00594F29" w:rsidRDefault="00594F29" w:rsidP="00594F29">
      <w:pPr>
        <w:rPr>
          <w:rFonts w:ascii="BreraCondensed-Regular" w:eastAsia="Times New Roman" w:hAnsi="BreraCondensed-Regular" w:cs="Times New Roman"/>
          <w:spacing w:val="6"/>
          <w:lang w:eastAsia="it-IT"/>
        </w:rPr>
      </w:pPr>
    </w:p>
    <w:p w:rsidR="00594F29" w:rsidRPr="00594F29" w:rsidRDefault="00594F29" w:rsidP="00594F29">
      <w:pPr>
        <w:rPr>
          <w:rFonts w:ascii="Times New Roman" w:eastAsia="Times New Roman" w:hAnsi="Times New Roman" w:cs="Times New Roman"/>
          <w:lang w:eastAsia="it-IT"/>
        </w:rPr>
      </w:pPr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Buone notizie per le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Pmi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innovative. L’Agenzia dell’Entrate con </w:t>
      </w:r>
      <w:hyperlink r:id="rId4" w:tgtFrame="_blank" w:history="1">
        <w:r w:rsidRPr="00594F29">
          <w:rPr>
            <w:rFonts w:ascii="SolferinoText-Regular" w:eastAsia="Times New Roman" w:hAnsi="SolferinoText-Regular" w:cs="Times New Roman"/>
            <w:b/>
            <w:bCs/>
            <w:color w:val="0000FF"/>
            <w:sz w:val="27"/>
            <w:szCs w:val="27"/>
            <w:u w:val="single"/>
            <w:lang w:eastAsia="it-IT"/>
          </w:rPr>
          <w:t>un’apposita circolare</w:t>
        </w:r>
      </w:hyperlink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 ha confermato il </w:t>
      </w:r>
      <w:r w:rsidRPr="00594F29">
        <w:rPr>
          <w:rFonts w:ascii="SolferinoText-Regular" w:eastAsia="Times New Roman" w:hAnsi="SolferinoText-Regular" w:cs="Times New Roman"/>
          <w:b/>
          <w:bCs/>
          <w:color w:val="0A0A0A"/>
          <w:sz w:val="27"/>
          <w:szCs w:val="27"/>
          <w:lang w:eastAsia="it-IT"/>
        </w:rPr>
        <w:t xml:space="preserve">mantenimento delle agevolazioni fiscali per chi investe nelle Piccole e medie imprese innovative quotate su </w:t>
      </w:r>
      <w:proofErr w:type="spellStart"/>
      <w:r w:rsidRPr="00594F29">
        <w:rPr>
          <w:rFonts w:ascii="SolferinoText-Regular" w:eastAsia="Times New Roman" w:hAnsi="SolferinoText-Regular" w:cs="Times New Roman"/>
          <w:b/>
          <w:bCs/>
          <w:color w:val="0A0A0A"/>
          <w:sz w:val="27"/>
          <w:szCs w:val="27"/>
          <w:lang w:eastAsia="it-IT"/>
        </w:rPr>
        <w:t>Aim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. Un decisione non scontata data l’equiparazione dei sistemi multilaterali di negoziazione, in sigla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Mtf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(in cui rientra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Aim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) ai mercati regolamentati. Dice </w:t>
      </w:r>
      <w:r w:rsidRPr="00594F29">
        <w:rPr>
          <w:rFonts w:ascii="SolferinoText-Regular" w:eastAsia="Times New Roman" w:hAnsi="SolferinoText-Regular" w:cs="Times New Roman"/>
          <w:b/>
          <w:bCs/>
          <w:color w:val="0A0A0A"/>
          <w:sz w:val="27"/>
          <w:szCs w:val="27"/>
          <w:lang w:eastAsia="it-IT"/>
        </w:rPr>
        <w:t xml:space="preserve">Anna Lambiase, fondatore e </w:t>
      </w:r>
      <w:proofErr w:type="spellStart"/>
      <w:r w:rsidRPr="00594F29">
        <w:rPr>
          <w:rFonts w:ascii="SolferinoText-Regular" w:eastAsia="Times New Roman" w:hAnsi="SolferinoText-Regular" w:cs="Times New Roman"/>
          <w:b/>
          <w:bCs/>
          <w:color w:val="0A0A0A"/>
          <w:sz w:val="27"/>
          <w:szCs w:val="27"/>
          <w:lang w:eastAsia="it-IT"/>
        </w:rPr>
        <w:t>ceo</w:t>
      </w:r>
      <w:proofErr w:type="spellEnd"/>
      <w:r w:rsidRPr="00594F29">
        <w:rPr>
          <w:rFonts w:ascii="SolferinoText-Regular" w:eastAsia="Times New Roman" w:hAnsi="SolferinoText-Regular" w:cs="Times New Roman"/>
          <w:b/>
          <w:bCs/>
          <w:color w:val="0A0A0A"/>
          <w:sz w:val="27"/>
          <w:szCs w:val="27"/>
          <w:lang w:eastAsia="it-IT"/>
        </w:rPr>
        <w:t xml:space="preserve"> di </w:t>
      </w:r>
      <w:proofErr w:type="spellStart"/>
      <w:r w:rsidRPr="00594F29">
        <w:rPr>
          <w:rFonts w:ascii="SolferinoText-Regular" w:eastAsia="Times New Roman" w:hAnsi="SolferinoText-Regular" w:cs="Times New Roman"/>
          <w:b/>
          <w:bCs/>
          <w:color w:val="0A0A0A"/>
          <w:sz w:val="27"/>
          <w:szCs w:val="27"/>
          <w:lang w:eastAsia="it-IT"/>
        </w:rPr>
        <w:t>Ir</w:t>
      </w:r>
      <w:proofErr w:type="spellEnd"/>
      <w:r w:rsidRPr="00594F29">
        <w:rPr>
          <w:rFonts w:ascii="SolferinoText-Regular" w:eastAsia="Times New Roman" w:hAnsi="SolferinoText-Regular" w:cs="Times New Roman"/>
          <w:b/>
          <w:bCs/>
          <w:color w:val="0A0A0A"/>
          <w:sz w:val="27"/>
          <w:szCs w:val="27"/>
          <w:lang w:eastAsia="it-IT"/>
        </w:rPr>
        <w:t xml:space="preserve"> Top </w:t>
      </w:r>
      <w:proofErr w:type="spellStart"/>
      <w:r w:rsidRPr="00594F29">
        <w:rPr>
          <w:rFonts w:ascii="SolferinoText-Regular" w:eastAsia="Times New Roman" w:hAnsi="SolferinoText-Regular" w:cs="Times New Roman"/>
          <w:b/>
          <w:bCs/>
          <w:color w:val="0A0A0A"/>
          <w:sz w:val="27"/>
          <w:szCs w:val="27"/>
          <w:lang w:eastAsia="it-IT"/>
        </w:rPr>
        <w:t>Consulting</w:t>
      </w:r>
      <w:proofErr w:type="spellEnd"/>
      <w:r w:rsidRPr="00594F29">
        <w:rPr>
          <w:rFonts w:ascii="SolferinoText-Regular" w:eastAsia="Times New Roman" w:hAnsi="SolferinoText-Regular" w:cs="Times New Roman"/>
          <w:b/>
          <w:bCs/>
          <w:color w:val="0A0A0A"/>
          <w:sz w:val="27"/>
          <w:szCs w:val="27"/>
          <w:lang w:eastAsia="it-IT"/>
        </w:rPr>
        <w:t xml:space="preserve">, società di </w:t>
      </w:r>
      <w:proofErr w:type="spellStart"/>
      <w:r w:rsidRPr="00594F29">
        <w:rPr>
          <w:rFonts w:ascii="SolferinoText-Regular" w:eastAsia="Times New Roman" w:hAnsi="SolferinoText-Regular" w:cs="Times New Roman"/>
          <w:b/>
          <w:bCs/>
          <w:color w:val="0A0A0A"/>
          <w:sz w:val="27"/>
          <w:szCs w:val="27"/>
          <w:lang w:eastAsia="it-IT"/>
        </w:rPr>
        <w:t>advisory</w:t>
      </w:r>
      <w:proofErr w:type="spellEnd"/>
      <w:r w:rsidRPr="00594F29">
        <w:rPr>
          <w:rFonts w:ascii="SolferinoText-Regular" w:eastAsia="Times New Roman" w:hAnsi="SolferinoText-Regular" w:cs="Times New Roman"/>
          <w:b/>
          <w:bCs/>
          <w:color w:val="0A0A0A"/>
          <w:sz w:val="27"/>
          <w:szCs w:val="27"/>
          <w:lang w:eastAsia="it-IT"/>
        </w:rPr>
        <w:t xml:space="preserve"> per la quotazione in Borsa</w:t>
      </w:r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: «È una decisione che va a favore delle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Pmi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innovative che si quotano sui sistemi multilaterali di negoziazione e in particolare su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Aim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</w:t>
      </w:r>
      <w:proofErr w:type="gram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Italia .</w:t>
      </w:r>
      <w:proofErr w:type="gram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Rende infatti vantaggioso in termini fiscali l’investimento in queste società». Non a caso l’Osservatorio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Aim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di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Ir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Top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Consulting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aveva richiesto all’Agenzia il mantenimento delle agevolazioni considerando le numerose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Pmi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innovative presenti sul listino: il 41% del totale e circa il 25% dell’intera capitalizzazione del mercato azionario. Società che senza la circolare di cui sopra avrebbero perso le disposizioni agevolative, vitali per lo sviluppo futuro del mercato dei capitali dedicato alle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Pmi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.</w:t>
      </w:r>
    </w:p>
    <w:p w:rsidR="00594F29" w:rsidRDefault="00594F29" w:rsidP="00594F29">
      <w:pPr>
        <w:rPr>
          <w:rFonts w:ascii="BreraCondensed-Regular" w:eastAsia="Times New Roman" w:hAnsi="BreraCondensed-Regular" w:cs="Times New Roman"/>
          <w:spacing w:val="6"/>
          <w:lang w:eastAsia="it-IT"/>
        </w:rPr>
      </w:pPr>
    </w:p>
    <w:p w:rsidR="00594F29" w:rsidRPr="00594F29" w:rsidRDefault="00594F29" w:rsidP="00594F29">
      <w:pPr>
        <w:rPr>
          <w:rFonts w:ascii="Times New Roman" w:eastAsia="Times New Roman" w:hAnsi="Times New Roman" w:cs="Times New Roman"/>
          <w:lang w:eastAsia="it-IT"/>
        </w:rPr>
      </w:pPr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L’Agenzia delle Entrate ha quindi confermato il perdurare della disciplina fiscale agevolativa prevista per le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Pmi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innovative, anche se le loro azioni sono quotate in un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Mtf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. «Si mantiene quindi — spiega Lambiase — per gli investitori la detrazione Irpef al 50% dell’importo investito a titolo di capitale. La detrazione al 50% è valida fino a 300mila euro all’anno di investimento oltre quella cifra si applicherà quella ordinaria del 30%. Si tratta quindi di </w:t>
      </w:r>
      <w:proofErr w:type="gram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un’ opportunità</w:t>
      </w:r>
      <w:proofErr w:type="gram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fiscale importante per gli investitori a medio lungo termine presenti sul mercato». L’Osservatorio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Aim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rileva infatti come l’investimento medio degli investitori professionali su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Aim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sia pari a 300 mila euro. Risorse fondamentali per le società che possono così proseguire gli investimenti in innovazione e ricerca e sviluppo, oltre che in personale qualificato e nell’internazionalizzazione. Per le società che investono in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pmi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innovative invece, vale la pena ricordare, che resta valida la deduzione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>Ires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sz w:val="27"/>
          <w:szCs w:val="27"/>
          <w:shd w:val="clear" w:color="auto" w:fill="FFFFFF"/>
          <w:lang w:eastAsia="it-IT"/>
        </w:rPr>
        <w:t xml:space="preserve"> al 30% per un ammontare massimo annuo di 1.8 milioni di euro.</w:t>
      </w:r>
    </w:p>
    <w:p w:rsidR="00594F29" w:rsidRDefault="00594F29" w:rsidP="00594F29">
      <w:pPr>
        <w:rPr>
          <w:rFonts w:ascii="BreraCondensed-Regular" w:eastAsia="Times New Roman" w:hAnsi="BreraCondensed-Regular" w:cs="Times New Roman"/>
          <w:spacing w:val="6"/>
          <w:lang w:eastAsia="it-IT"/>
        </w:rPr>
      </w:pPr>
    </w:p>
    <w:p w:rsidR="00594F29" w:rsidRDefault="00594F29" w:rsidP="00594F29">
      <w:pPr>
        <w:pStyle w:val="Titolo5"/>
        <w:rPr>
          <w:rFonts w:ascii="BreraCondensed-Heavy" w:hAnsi="BreraCondensed-Heavy"/>
          <w:color w:val="136786"/>
          <w:sz w:val="27"/>
          <w:szCs w:val="27"/>
        </w:rPr>
      </w:pPr>
      <w:r>
        <w:rPr>
          <w:rFonts w:ascii="BreraCondensed-Heavy" w:hAnsi="BreraCondensed-Heavy"/>
          <w:color w:val="136786"/>
          <w:sz w:val="27"/>
          <w:szCs w:val="27"/>
        </w:rPr>
        <w:t xml:space="preserve">Le </w:t>
      </w:r>
      <w:proofErr w:type="spellStart"/>
      <w:r>
        <w:rPr>
          <w:rFonts w:ascii="BreraCondensed-Heavy" w:hAnsi="BreraCondensed-Heavy"/>
          <w:color w:val="136786"/>
          <w:sz w:val="27"/>
          <w:szCs w:val="27"/>
        </w:rPr>
        <w:t>Ipo</w:t>
      </w:r>
      <w:proofErr w:type="spellEnd"/>
      <w:r>
        <w:rPr>
          <w:rFonts w:ascii="BreraCondensed-Heavy" w:hAnsi="BreraCondensed-Heavy"/>
          <w:color w:val="136786"/>
          <w:sz w:val="27"/>
          <w:szCs w:val="27"/>
        </w:rPr>
        <w:t xml:space="preserve"> 2020</w:t>
      </w:r>
    </w:p>
    <w:p w:rsidR="00594F29" w:rsidRDefault="00594F29" w:rsidP="00594F29">
      <w:pPr>
        <w:pStyle w:val="chapter-paragraph"/>
        <w:spacing w:before="0" w:beforeAutospacing="0" w:after="0" w:afterAutospacing="0"/>
        <w:rPr>
          <w:rFonts w:ascii="SolferinoText-Regular" w:hAnsi="SolferinoText-Regular"/>
          <w:color w:val="0A0A0A"/>
        </w:rPr>
      </w:pPr>
      <w:proofErr w:type="spellStart"/>
      <w:r>
        <w:rPr>
          <w:rFonts w:ascii="SolferinoText-Regular" w:hAnsi="SolferinoText-Regular"/>
          <w:color w:val="0A0A0A"/>
        </w:rPr>
        <w:t>Aim</w:t>
      </w:r>
      <w:proofErr w:type="spellEnd"/>
      <w:r>
        <w:rPr>
          <w:rFonts w:ascii="SolferinoText-Regular" w:hAnsi="SolferinoText-Regular"/>
          <w:color w:val="0A0A0A"/>
        </w:rPr>
        <w:t xml:space="preserve"> Italia ha evidenziato il maggior numero di collocamenti rispetto al mercato principale (</w:t>
      </w:r>
      <w:proofErr w:type="spellStart"/>
      <w:r>
        <w:rPr>
          <w:rFonts w:ascii="SolferinoText-Regular" w:hAnsi="SolferinoText-Regular"/>
          <w:color w:val="0A0A0A"/>
        </w:rPr>
        <w:t>Mta</w:t>
      </w:r>
      <w:proofErr w:type="spellEnd"/>
      <w:r>
        <w:rPr>
          <w:rFonts w:ascii="SolferinoText-Regular" w:hAnsi="SolferinoText-Regular"/>
          <w:color w:val="0A0A0A"/>
        </w:rPr>
        <w:t>).</w:t>
      </w:r>
      <w:r>
        <w:rPr>
          <w:rStyle w:val="apple-converted-space"/>
          <w:rFonts w:ascii="SolferinoText-Regular" w:hAnsi="SolferinoText-Regular"/>
          <w:color w:val="0A0A0A"/>
        </w:rPr>
        <w:t> </w:t>
      </w:r>
      <w:r>
        <w:rPr>
          <w:rFonts w:ascii="SolferinoText-Regular" w:hAnsi="SolferinoText-Regular"/>
          <w:b/>
          <w:bCs/>
          <w:color w:val="0A0A0A"/>
        </w:rPr>
        <w:t xml:space="preserve">Nel 2020 il mercato per la crescita delle </w:t>
      </w:r>
      <w:proofErr w:type="spellStart"/>
      <w:r>
        <w:rPr>
          <w:rFonts w:ascii="SolferinoText-Regular" w:hAnsi="SolferinoText-Regular"/>
          <w:b/>
          <w:bCs/>
          <w:color w:val="0A0A0A"/>
        </w:rPr>
        <w:t>Pmi</w:t>
      </w:r>
      <w:proofErr w:type="spellEnd"/>
      <w:r>
        <w:rPr>
          <w:rFonts w:ascii="SolferinoText-Regular" w:hAnsi="SolferinoText-Regular"/>
          <w:b/>
          <w:bCs/>
          <w:color w:val="0A0A0A"/>
        </w:rPr>
        <w:t xml:space="preserve"> conta 23 ammissioni, di cui 21 nuove </w:t>
      </w:r>
      <w:proofErr w:type="spellStart"/>
      <w:r>
        <w:rPr>
          <w:rFonts w:ascii="SolferinoText-Regular" w:hAnsi="SolferinoText-Regular"/>
          <w:b/>
          <w:bCs/>
          <w:color w:val="0A0A0A"/>
        </w:rPr>
        <w:t>Ipo</w:t>
      </w:r>
      <w:proofErr w:type="spellEnd"/>
      <w:r>
        <w:rPr>
          <w:rFonts w:ascii="SolferinoText-Regular" w:hAnsi="SolferinoText-Regular"/>
          <w:b/>
          <w:bCs/>
          <w:color w:val="0A0A0A"/>
        </w:rPr>
        <w:t xml:space="preserve"> e 2 altre ammissioni, in ridimensionamento rispetto al 2019</w:t>
      </w:r>
      <w:r>
        <w:rPr>
          <w:rStyle w:val="apple-converted-space"/>
          <w:rFonts w:ascii="SolferinoText-Regular" w:hAnsi="SolferinoText-Regular"/>
          <w:color w:val="0A0A0A"/>
        </w:rPr>
        <w:t> </w:t>
      </w:r>
      <w:r>
        <w:rPr>
          <w:rFonts w:ascii="SolferinoText-Regular" w:hAnsi="SolferinoText-Regular"/>
          <w:color w:val="0A0A0A"/>
        </w:rPr>
        <w:t xml:space="preserve">(35 quotazioni, di cui 31 </w:t>
      </w:r>
      <w:proofErr w:type="spellStart"/>
      <w:r>
        <w:rPr>
          <w:rFonts w:ascii="SolferinoText-Regular" w:hAnsi="SolferinoText-Regular"/>
          <w:color w:val="0A0A0A"/>
        </w:rPr>
        <w:t>Ipo</w:t>
      </w:r>
      <w:proofErr w:type="spellEnd"/>
      <w:r>
        <w:rPr>
          <w:rFonts w:ascii="SolferinoText-Regular" w:hAnsi="SolferinoText-Regular"/>
          <w:color w:val="0A0A0A"/>
        </w:rPr>
        <w:t xml:space="preserve"> e 4 ammissioni post business </w:t>
      </w:r>
      <w:proofErr w:type="spellStart"/>
      <w:r>
        <w:rPr>
          <w:rFonts w:ascii="SolferinoText-Regular" w:hAnsi="SolferinoText-Regular"/>
          <w:color w:val="0A0A0A"/>
        </w:rPr>
        <w:t>combination</w:t>
      </w:r>
      <w:proofErr w:type="spellEnd"/>
      <w:r>
        <w:rPr>
          <w:rFonts w:ascii="SolferinoText-Regular" w:hAnsi="SolferinoText-Regular"/>
          <w:color w:val="0A0A0A"/>
        </w:rPr>
        <w:t xml:space="preserve">). «I collocamenti — spiega Lambiase — si sono concentrati nella seconda metà dell’anno, tra ottobre e dicembre. E questo è principalmente dovuto agli effetti della pandemia che ha ritardato le </w:t>
      </w:r>
      <w:proofErr w:type="spellStart"/>
      <w:r>
        <w:rPr>
          <w:rFonts w:ascii="SolferinoText-Regular" w:hAnsi="SolferinoText-Regular"/>
          <w:color w:val="0A0A0A"/>
        </w:rPr>
        <w:t>quotazioni</w:t>
      </w:r>
      <w:proofErr w:type="gramStart"/>
      <w:r>
        <w:rPr>
          <w:rFonts w:ascii="SolferinoText-Regular" w:hAnsi="SolferinoText-Regular"/>
          <w:color w:val="0A0A0A"/>
        </w:rPr>
        <w:t>».In</w:t>
      </w:r>
      <w:proofErr w:type="spellEnd"/>
      <w:proofErr w:type="gramEnd"/>
      <w:r>
        <w:rPr>
          <w:rFonts w:ascii="SolferinoText-Regular" w:hAnsi="SolferinoText-Regular"/>
          <w:color w:val="0A0A0A"/>
        </w:rPr>
        <w:t xml:space="preserve"> particolare, sono approdate sul listino dedicato alla crescita delle </w:t>
      </w:r>
      <w:proofErr w:type="spellStart"/>
      <w:r>
        <w:rPr>
          <w:rFonts w:ascii="SolferinoText-Regular" w:hAnsi="SolferinoText-Regular"/>
          <w:color w:val="0A0A0A"/>
        </w:rPr>
        <w:t>Pmi</w:t>
      </w:r>
      <w:proofErr w:type="spellEnd"/>
      <w:r>
        <w:rPr>
          <w:rFonts w:ascii="SolferinoText-Regular" w:hAnsi="SolferinoText-Regular"/>
          <w:color w:val="0A0A0A"/>
        </w:rPr>
        <w:t xml:space="preserve">: </w:t>
      </w:r>
      <w:proofErr w:type="spellStart"/>
      <w:r>
        <w:rPr>
          <w:rFonts w:ascii="SolferinoText-Regular" w:hAnsi="SolferinoText-Regular"/>
          <w:color w:val="0A0A0A"/>
        </w:rPr>
        <w:t>Planetel</w:t>
      </w:r>
      <w:proofErr w:type="spellEnd"/>
      <w:r>
        <w:rPr>
          <w:rFonts w:ascii="SolferinoText-Regular" w:hAnsi="SolferinoText-Regular"/>
          <w:color w:val="0A0A0A"/>
        </w:rPr>
        <w:t xml:space="preserve">, </w:t>
      </w:r>
      <w:proofErr w:type="spellStart"/>
      <w:r>
        <w:rPr>
          <w:rFonts w:ascii="SolferinoText-Regular" w:hAnsi="SolferinoText-Regular"/>
          <w:color w:val="0A0A0A"/>
        </w:rPr>
        <w:t>eVISO</w:t>
      </w:r>
      <w:proofErr w:type="spellEnd"/>
      <w:r>
        <w:rPr>
          <w:rFonts w:ascii="SolferinoText-Regular" w:hAnsi="SolferinoText-Regular"/>
          <w:color w:val="0A0A0A"/>
        </w:rPr>
        <w:t xml:space="preserve">, </w:t>
      </w:r>
      <w:r>
        <w:rPr>
          <w:rFonts w:ascii="SolferinoText-Regular" w:hAnsi="SolferinoText-Regular"/>
          <w:color w:val="0A0A0A"/>
        </w:rPr>
        <w:lastRenderedPageBreak/>
        <w:t xml:space="preserve">Convergenze, </w:t>
      </w:r>
      <w:proofErr w:type="spellStart"/>
      <w:r>
        <w:rPr>
          <w:rFonts w:ascii="SolferinoText-Regular" w:hAnsi="SolferinoText-Regular"/>
          <w:color w:val="0A0A0A"/>
        </w:rPr>
        <w:t>Mit</w:t>
      </w:r>
      <w:proofErr w:type="spellEnd"/>
      <w:r>
        <w:rPr>
          <w:rFonts w:ascii="SolferinoText-Regular" w:hAnsi="SolferinoText-Regular"/>
          <w:color w:val="0A0A0A"/>
        </w:rPr>
        <w:t xml:space="preserve"> </w:t>
      </w:r>
      <w:proofErr w:type="spellStart"/>
      <w:r>
        <w:rPr>
          <w:rFonts w:ascii="SolferinoText-Regular" w:hAnsi="SolferinoText-Regular"/>
          <w:color w:val="0A0A0A"/>
        </w:rPr>
        <w:t>Sim</w:t>
      </w:r>
      <w:proofErr w:type="spellEnd"/>
      <w:r>
        <w:rPr>
          <w:rFonts w:ascii="SolferinoText-Regular" w:hAnsi="SolferinoText-Regular"/>
          <w:color w:val="0A0A0A"/>
        </w:rPr>
        <w:t xml:space="preserve"> (</w:t>
      </w:r>
      <w:proofErr w:type="spellStart"/>
      <w:r>
        <w:rPr>
          <w:rFonts w:ascii="SolferinoText-Regular" w:hAnsi="SolferinoText-Regular"/>
          <w:color w:val="0A0A0A"/>
        </w:rPr>
        <w:t>Aim</w:t>
      </w:r>
      <w:proofErr w:type="spellEnd"/>
      <w:r>
        <w:rPr>
          <w:rFonts w:ascii="SolferinoText-Regular" w:hAnsi="SolferinoText-Regular"/>
          <w:color w:val="0A0A0A"/>
        </w:rPr>
        <w:t xml:space="preserve"> Professional), </w:t>
      </w:r>
      <w:proofErr w:type="spellStart"/>
      <w:r>
        <w:rPr>
          <w:rFonts w:ascii="SolferinoText-Regular" w:hAnsi="SolferinoText-Regular"/>
          <w:color w:val="0A0A0A"/>
        </w:rPr>
        <w:t>Igeamed</w:t>
      </w:r>
      <w:proofErr w:type="spellEnd"/>
      <w:r>
        <w:rPr>
          <w:rFonts w:ascii="SolferinoText-Regular" w:hAnsi="SolferinoText-Regular"/>
          <w:color w:val="0A0A0A"/>
        </w:rPr>
        <w:t xml:space="preserve"> (</w:t>
      </w:r>
      <w:proofErr w:type="spellStart"/>
      <w:r>
        <w:rPr>
          <w:rFonts w:ascii="SolferinoText-Regular" w:hAnsi="SolferinoText-Regular"/>
          <w:color w:val="0A0A0A"/>
        </w:rPr>
        <w:t>Aim</w:t>
      </w:r>
      <w:proofErr w:type="spellEnd"/>
      <w:r>
        <w:rPr>
          <w:rFonts w:ascii="SolferinoText-Regular" w:hAnsi="SolferinoText-Regular"/>
          <w:color w:val="0A0A0A"/>
        </w:rPr>
        <w:t xml:space="preserve"> Professional), </w:t>
      </w:r>
      <w:proofErr w:type="spellStart"/>
      <w:r>
        <w:rPr>
          <w:rFonts w:ascii="SolferinoText-Regular" w:hAnsi="SolferinoText-Regular"/>
          <w:color w:val="0A0A0A"/>
        </w:rPr>
        <w:t>Tenax</w:t>
      </w:r>
      <w:proofErr w:type="spellEnd"/>
      <w:r>
        <w:rPr>
          <w:rFonts w:ascii="SolferinoText-Regular" w:hAnsi="SolferinoText-Regular"/>
          <w:color w:val="0A0A0A"/>
        </w:rPr>
        <w:t xml:space="preserve"> International, </w:t>
      </w:r>
      <w:proofErr w:type="spellStart"/>
      <w:r>
        <w:rPr>
          <w:rFonts w:ascii="SolferinoText-Regular" w:hAnsi="SolferinoText-Regular"/>
          <w:color w:val="0A0A0A"/>
        </w:rPr>
        <w:t>Comal</w:t>
      </w:r>
      <w:proofErr w:type="spellEnd"/>
      <w:r>
        <w:rPr>
          <w:rFonts w:ascii="SolferinoText-Regular" w:hAnsi="SolferinoText-Regular"/>
          <w:color w:val="0A0A0A"/>
        </w:rPr>
        <w:t xml:space="preserve">, </w:t>
      </w:r>
      <w:proofErr w:type="spellStart"/>
      <w:r>
        <w:rPr>
          <w:rFonts w:ascii="SolferinoText-Regular" w:hAnsi="SolferinoText-Regular"/>
          <w:color w:val="0A0A0A"/>
        </w:rPr>
        <w:t>Promotica</w:t>
      </w:r>
      <w:proofErr w:type="spellEnd"/>
      <w:r>
        <w:rPr>
          <w:rFonts w:ascii="SolferinoText-Regular" w:hAnsi="SolferinoText-Regular"/>
          <w:color w:val="0A0A0A"/>
        </w:rPr>
        <w:t xml:space="preserve">, </w:t>
      </w:r>
      <w:proofErr w:type="spellStart"/>
      <w:r>
        <w:rPr>
          <w:rFonts w:ascii="SolferinoText-Regular" w:hAnsi="SolferinoText-Regular"/>
          <w:color w:val="0A0A0A"/>
        </w:rPr>
        <w:t>Tecma</w:t>
      </w:r>
      <w:proofErr w:type="spellEnd"/>
      <w:r>
        <w:rPr>
          <w:rFonts w:ascii="SolferinoText-Regular" w:hAnsi="SolferinoText-Regular"/>
          <w:color w:val="0A0A0A"/>
        </w:rPr>
        <w:t xml:space="preserve"> Solutions, Euro </w:t>
      </w:r>
      <w:proofErr w:type="spellStart"/>
      <w:r>
        <w:rPr>
          <w:rFonts w:ascii="SolferinoText-Regular" w:hAnsi="SolferinoText-Regular"/>
          <w:color w:val="0A0A0A"/>
        </w:rPr>
        <w:t>Cosmetic</w:t>
      </w:r>
      <w:proofErr w:type="spellEnd"/>
      <w:r>
        <w:rPr>
          <w:rFonts w:ascii="SolferinoText-Regular" w:hAnsi="SolferinoText-Regular"/>
          <w:color w:val="0A0A0A"/>
        </w:rPr>
        <w:t xml:space="preserve">, OSAI Automation System, </w:t>
      </w:r>
      <w:proofErr w:type="spellStart"/>
      <w:r>
        <w:rPr>
          <w:rFonts w:ascii="SolferinoText-Regular" w:hAnsi="SolferinoText-Regular"/>
          <w:color w:val="0A0A0A"/>
        </w:rPr>
        <w:t>Trendevice</w:t>
      </w:r>
      <w:proofErr w:type="spellEnd"/>
      <w:r>
        <w:rPr>
          <w:rFonts w:ascii="SolferinoText-Regular" w:hAnsi="SolferinoText-Regular"/>
          <w:color w:val="0A0A0A"/>
        </w:rPr>
        <w:t xml:space="preserve">, ESI, </w:t>
      </w:r>
      <w:proofErr w:type="spellStart"/>
      <w:r>
        <w:rPr>
          <w:rFonts w:ascii="SolferinoText-Regular" w:hAnsi="SolferinoText-Regular"/>
          <w:color w:val="0A0A0A"/>
        </w:rPr>
        <w:t>Labomar</w:t>
      </w:r>
      <w:proofErr w:type="spellEnd"/>
      <w:r>
        <w:rPr>
          <w:rFonts w:ascii="SolferinoText-Regular" w:hAnsi="SolferinoText-Regular"/>
          <w:color w:val="0A0A0A"/>
        </w:rPr>
        <w:t xml:space="preserve">, Reti, </w:t>
      </w:r>
      <w:proofErr w:type="spellStart"/>
      <w:r>
        <w:rPr>
          <w:rFonts w:ascii="SolferinoText-Regular" w:hAnsi="SolferinoText-Regular"/>
          <w:color w:val="0A0A0A"/>
        </w:rPr>
        <w:t>Fenix</w:t>
      </w:r>
      <w:proofErr w:type="spellEnd"/>
      <w:r>
        <w:rPr>
          <w:rFonts w:ascii="SolferinoText-Regular" w:hAnsi="SolferinoText-Regular"/>
          <w:color w:val="0A0A0A"/>
        </w:rPr>
        <w:t xml:space="preserve"> Entertainment (AIM Professional), </w:t>
      </w:r>
      <w:proofErr w:type="spellStart"/>
      <w:r>
        <w:rPr>
          <w:rFonts w:ascii="SolferinoText-Regular" w:hAnsi="SolferinoText-Regular"/>
          <w:color w:val="0A0A0A"/>
        </w:rPr>
        <w:t>Sourcesense</w:t>
      </w:r>
      <w:proofErr w:type="spellEnd"/>
      <w:r>
        <w:rPr>
          <w:rFonts w:ascii="SolferinoText-Regular" w:hAnsi="SolferinoText-Regular"/>
          <w:color w:val="0A0A0A"/>
        </w:rPr>
        <w:t xml:space="preserve">, </w:t>
      </w:r>
      <w:proofErr w:type="spellStart"/>
      <w:r>
        <w:rPr>
          <w:rFonts w:ascii="SolferinoText-Regular" w:hAnsi="SolferinoText-Regular"/>
          <w:color w:val="0A0A0A"/>
        </w:rPr>
        <w:t>Fabilia</w:t>
      </w:r>
      <w:proofErr w:type="spellEnd"/>
      <w:r>
        <w:rPr>
          <w:rFonts w:ascii="SolferinoText-Regular" w:hAnsi="SolferinoText-Regular"/>
          <w:color w:val="0A0A0A"/>
        </w:rPr>
        <w:t xml:space="preserve"> Group, Cy4gate, </w:t>
      </w:r>
      <w:proofErr w:type="spellStart"/>
      <w:r>
        <w:rPr>
          <w:rFonts w:ascii="SolferinoText-Regular" w:hAnsi="SolferinoText-Regular"/>
          <w:color w:val="0A0A0A"/>
        </w:rPr>
        <w:t>Sebino</w:t>
      </w:r>
      <w:proofErr w:type="spellEnd"/>
      <w:r>
        <w:rPr>
          <w:rFonts w:ascii="SolferinoText-Regular" w:hAnsi="SolferinoText-Regular"/>
          <w:color w:val="0A0A0A"/>
        </w:rPr>
        <w:t xml:space="preserve">, </w:t>
      </w:r>
      <w:proofErr w:type="spellStart"/>
      <w:r>
        <w:rPr>
          <w:rFonts w:ascii="SolferinoText-Regular" w:hAnsi="SolferinoText-Regular"/>
          <w:color w:val="0A0A0A"/>
        </w:rPr>
        <w:t>Unidata</w:t>
      </w:r>
      <w:proofErr w:type="spellEnd"/>
      <w:r>
        <w:rPr>
          <w:rFonts w:ascii="SolferinoText-Regular" w:hAnsi="SolferinoText-Regular"/>
          <w:color w:val="0A0A0A"/>
        </w:rPr>
        <w:t xml:space="preserve">. Inoltre, sono state ammesse 2 società a seguito di operazioni di fusione con società precedentemente quotate sul listino: Franco Umberto Marmi (business </w:t>
      </w:r>
      <w:proofErr w:type="spellStart"/>
      <w:r>
        <w:rPr>
          <w:rFonts w:ascii="SolferinoText-Regular" w:hAnsi="SolferinoText-Regular"/>
          <w:color w:val="0A0A0A"/>
        </w:rPr>
        <w:t>combination</w:t>
      </w:r>
      <w:proofErr w:type="spellEnd"/>
      <w:r>
        <w:rPr>
          <w:rFonts w:ascii="SolferinoText-Regular" w:hAnsi="SolferinoText-Regular"/>
          <w:color w:val="0A0A0A"/>
        </w:rPr>
        <w:t xml:space="preserve"> con </w:t>
      </w:r>
      <w:proofErr w:type="spellStart"/>
      <w:r>
        <w:rPr>
          <w:rFonts w:ascii="SolferinoText-Regular" w:hAnsi="SolferinoText-Regular"/>
          <w:color w:val="0A0A0A"/>
        </w:rPr>
        <w:t>TheSpac</w:t>
      </w:r>
      <w:proofErr w:type="spellEnd"/>
      <w:r>
        <w:rPr>
          <w:rFonts w:ascii="SolferinoText-Regular" w:hAnsi="SolferinoText-Regular"/>
          <w:color w:val="0A0A0A"/>
        </w:rPr>
        <w:t>) e Industrie Chimiche Forestali.</w:t>
      </w:r>
    </w:p>
    <w:p w:rsidR="00594F29" w:rsidRDefault="00594F29" w:rsidP="00594F29">
      <w:pPr>
        <w:rPr>
          <w:rFonts w:ascii="BreraCondensed-Regular" w:eastAsia="Times New Roman" w:hAnsi="BreraCondensed-Regular" w:cs="Times New Roman"/>
          <w:spacing w:val="6"/>
          <w:lang w:eastAsia="it-IT"/>
        </w:rPr>
      </w:pPr>
    </w:p>
    <w:p w:rsidR="00594F29" w:rsidRPr="00594F29" w:rsidRDefault="00594F29" w:rsidP="00594F29">
      <w:pPr>
        <w:rPr>
          <w:rFonts w:ascii="SolferinoText-Regular" w:eastAsia="Times New Roman" w:hAnsi="SolferinoText-Regular" w:cs="Times New Roman"/>
          <w:color w:val="0A0A0A"/>
          <w:lang w:eastAsia="it-IT"/>
        </w:rPr>
      </w:pPr>
      <w:r w:rsidRPr="00594F29">
        <w:rPr>
          <w:rFonts w:ascii="SolferinoText-Regular" w:eastAsia="Times New Roman" w:hAnsi="SolferinoText-Regular" w:cs="Times New Roman"/>
          <w:b/>
          <w:bCs/>
          <w:color w:val="0A0A0A"/>
          <w:lang w:eastAsia="it-IT"/>
        </w:rPr>
        <w:t xml:space="preserve">Le 21 nuove </w:t>
      </w:r>
      <w:proofErr w:type="spellStart"/>
      <w:r w:rsidRPr="00594F29">
        <w:rPr>
          <w:rFonts w:ascii="SolferinoText-Regular" w:eastAsia="Times New Roman" w:hAnsi="SolferinoText-Regular" w:cs="Times New Roman"/>
          <w:b/>
          <w:bCs/>
          <w:color w:val="0A0A0A"/>
          <w:lang w:eastAsia="it-IT"/>
        </w:rPr>
        <w:t>Ipo</w:t>
      </w:r>
      <w:proofErr w:type="spellEnd"/>
      <w:r w:rsidRPr="00594F29">
        <w:rPr>
          <w:rFonts w:ascii="SolferinoText-Regular" w:eastAsia="Times New Roman" w:hAnsi="SolferinoText-Regular" w:cs="Times New Roman"/>
          <w:b/>
          <w:bCs/>
          <w:color w:val="0A0A0A"/>
          <w:lang w:eastAsia="it-IT"/>
        </w:rPr>
        <w:t xml:space="preserve"> hanno raccolto 136 milioni di euro (207 milioni di euro nel 2019).</w:t>
      </w:r>
      <w:r w:rsidRPr="00594F29">
        <w:rPr>
          <w:rFonts w:ascii="SolferinoText-Regular" w:eastAsia="Times New Roman" w:hAnsi="SolferinoText-Regular" w:cs="Times New Roman"/>
          <w:color w:val="0A0A0A"/>
          <w:lang w:eastAsia="it-IT"/>
        </w:rPr>
        <w:t xml:space="preserve"> La capitalizzazione totale in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lang w:eastAsia="it-IT"/>
        </w:rPr>
        <w:t>Ipo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lang w:eastAsia="it-IT"/>
        </w:rPr>
        <w:t xml:space="preserve"> è pari a 513 milioni di euro. La raccolta media delle IPO nel 2020 è stata pari a 6,5 milioni di euro, superiore al 2019 (5,9 milioni di euro in media. Le nuove quotate provengono per il 38% dalla Lombardia, il 33% dal Lazio, il 9,5% dall’Emilia Romagna e il 9,5% dal Piemonte. Seguono Veneto e Campania, ciascuna rispettivamente con 1 </w:t>
      </w:r>
      <w:proofErr w:type="spellStart"/>
      <w:r w:rsidRPr="00594F29">
        <w:rPr>
          <w:rFonts w:ascii="SolferinoText-Regular" w:eastAsia="Times New Roman" w:hAnsi="SolferinoText-Regular" w:cs="Times New Roman"/>
          <w:color w:val="0A0A0A"/>
          <w:lang w:eastAsia="it-IT"/>
        </w:rPr>
        <w:t>Ipo</w:t>
      </w:r>
      <w:proofErr w:type="spellEnd"/>
      <w:r w:rsidRPr="00594F29">
        <w:rPr>
          <w:rFonts w:ascii="SolferinoText-Regular" w:eastAsia="Times New Roman" w:hAnsi="SolferinoText-Regular" w:cs="Times New Roman"/>
          <w:color w:val="0A0A0A"/>
          <w:lang w:eastAsia="it-IT"/>
        </w:rPr>
        <w:t xml:space="preserve"> (4,8%). In termini di raccolta di capitali, si collocano ai primi posti Lazio (32%), Lombardia (29%) e Veneto (22%).</w:t>
      </w:r>
    </w:p>
    <w:p w:rsidR="00594F29" w:rsidRPr="00594F29" w:rsidRDefault="00594F29" w:rsidP="00594F29">
      <w:pPr>
        <w:rPr>
          <w:rFonts w:ascii="Times New Roman" w:eastAsia="Times New Roman" w:hAnsi="Times New Roman" w:cs="Times New Roman"/>
          <w:lang w:eastAsia="it-IT"/>
        </w:rPr>
      </w:pPr>
    </w:p>
    <w:p w:rsidR="00594F29" w:rsidRPr="00594F29" w:rsidRDefault="00594F29" w:rsidP="00594F29">
      <w:pPr>
        <w:rPr>
          <w:rFonts w:ascii="BreraCondensed-Regular" w:eastAsia="Times New Roman" w:hAnsi="BreraCondensed-Regular" w:cs="Times New Roman"/>
          <w:spacing w:val="6"/>
          <w:lang w:eastAsia="it-IT"/>
        </w:rPr>
      </w:pPr>
    </w:p>
    <w:p w:rsidR="006C1B6D" w:rsidRDefault="00BF79A3"/>
    <w:sectPr w:rsidR="006C1B6D" w:rsidSect="002D3E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lferinoText-Light">
    <w:altName w:val="Cambria"/>
    <w:panose1 w:val="00000000000000000000"/>
    <w:charset w:val="00"/>
    <w:family w:val="roman"/>
    <w:notTrueType/>
    <w:pitch w:val="default"/>
  </w:font>
  <w:font w:name="SolferinoText-Regular">
    <w:altName w:val="Cambria"/>
    <w:panose1 w:val="00000000000000000000"/>
    <w:charset w:val="00"/>
    <w:family w:val="roman"/>
    <w:notTrueType/>
    <w:pitch w:val="default"/>
  </w:font>
  <w:font w:name="BreraCondensed-Regular">
    <w:altName w:val="Cambria"/>
    <w:panose1 w:val="00000000000000000000"/>
    <w:charset w:val="00"/>
    <w:family w:val="roman"/>
    <w:notTrueType/>
    <w:pitch w:val="default"/>
  </w:font>
  <w:font w:name="BreraCondensed-Bold">
    <w:altName w:val="Cambria"/>
    <w:panose1 w:val="00000000000000000000"/>
    <w:charset w:val="00"/>
    <w:family w:val="roman"/>
    <w:notTrueType/>
    <w:pitch w:val="default"/>
  </w:font>
  <w:font w:name="BreraCondensed-Heavy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29"/>
    <w:rsid w:val="002D3EBA"/>
    <w:rsid w:val="00594F29"/>
    <w:rsid w:val="00BF79A3"/>
    <w:rsid w:val="00D4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19BB3-72ED-794F-89BE-8FC9207D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94F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4F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4F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ignature-bck">
    <w:name w:val="signature-bck"/>
    <w:basedOn w:val="Normale"/>
    <w:rsid w:val="00594F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594F29"/>
  </w:style>
  <w:style w:type="character" w:styleId="Enfasigrassetto">
    <w:name w:val="Strong"/>
    <w:basedOn w:val="Carpredefinitoparagrafo"/>
    <w:uiPriority w:val="22"/>
    <w:qFormat/>
    <w:rsid w:val="00594F29"/>
    <w:rPr>
      <w:b/>
      <w:bCs/>
    </w:rPr>
  </w:style>
  <w:style w:type="character" w:customStyle="1" w:styleId="article-date">
    <w:name w:val="article-date"/>
    <w:basedOn w:val="Carpredefinitoparagrafo"/>
    <w:rsid w:val="00594F29"/>
  </w:style>
  <w:style w:type="character" w:styleId="Collegamentoipertestuale">
    <w:name w:val="Hyperlink"/>
    <w:basedOn w:val="Carpredefinitoparagrafo"/>
    <w:uiPriority w:val="99"/>
    <w:semiHidden/>
    <w:unhideWhenUsed/>
    <w:rsid w:val="00594F29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94F2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hapter-paragraph">
    <w:name w:val="chapter-paragraph"/>
    <w:basedOn w:val="Normale"/>
    <w:rsid w:val="00594F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4F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enziaentrate.gov.it/portale/documents/20143/0/Circolare+n.+32+del+23+dicembre+2020.pdf/417f043a-3216-9bff-dbbc-57f2fd9e8e4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 Stefano Antonio</cp:lastModifiedBy>
  <cp:revision>2</cp:revision>
  <dcterms:created xsi:type="dcterms:W3CDTF">2021-01-08T10:23:00Z</dcterms:created>
  <dcterms:modified xsi:type="dcterms:W3CDTF">2021-01-08T10:23:00Z</dcterms:modified>
</cp:coreProperties>
</file>