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F29" w:rsidRPr="00594F29" w:rsidRDefault="00594F29" w:rsidP="00594F29">
      <w:pPr>
        <w:spacing w:before="100" w:beforeAutospacing="1" w:after="100" w:afterAutospacing="1"/>
        <w:outlineLvl w:val="0"/>
        <w:rPr>
          <w:rFonts w:ascii="SolferinoText-Light" w:eastAsia="Times New Roman" w:hAnsi="SolferinoText-Light" w:cs="Times New Roman"/>
          <w:color w:val="0A0A0A"/>
          <w:kern w:val="36"/>
          <w:sz w:val="36"/>
          <w:szCs w:val="36"/>
          <w:lang w:eastAsia="it-IT"/>
        </w:rPr>
      </w:pPr>
      <w:bookmarkStart w:id="0" w:name="_GoBack"/>
      <w:bookmarkEnd w:id="0"/>
      <w:r>
        <w:rPr>
          <w:rFonts w:ascii="SolferinoText-Regular" w:eastAsia="Times New Roman" w:hAnsi="SolferinoText-Regular" w:cs="Times New Roman"/>
          <w:b/>
          <w:bCs/>
          <w:color w:val="0A0A0A"/>
          <w:sz w:val="36"/>
          <w:szCs w:val="36"/>
          <w:lang w:eastAsia="it-IT"/>
        </w:rPr>
        <w:t>Corriere.it</w:t>
      </w:r>
    </w:p>
    <w:p w:rsidR="00594F29" w:rsidRPr="00594F29" w:rsidRDefault="00594F29" w:rsidP="00594F29">
      <w:pPr>
        <w:spacing w:before="100" w:beforeAutospacing="1" w:after="100" w:afterAutospacing="1"/>
        <w:outlineLvl w:val="0"/>
        <w:rPr>
          <w:rFonts w:ascii="SolferinoText-Light" w:eastAsia="Times New Roman" w:hAnsi="SolferinoText-Light" w:cs="Times New Roman"/>
          <w:color w:val="0A0A0A"/>
          <w:kern w:val="36"/>
          <w:sz w:val="48"/>
          <w:szCs w:val="48"/>
          <w:lang w:eastAsia="it-IT"/>
        </w:rPr>
      </w:pPr>
      <w:proofErr w:type="spellStart"/>
      <w:r w:rsidRPr="00594F29">
        <w:rPr>
          <w:rFonts w:ascii="SolferinoText-Light" w:eastAsia="Times New Roman" w:hAnsi="SolferinoText-Light" w:cs="Times New Roman"/>
          <w:color w:val="0A0A0A"/>
          <w:kern w:val="36"/>
          <w:sz w:val="48"/>
          <w:szCs w:val="48"/>
          <w:lang w:eastAsia="it-IT"/>
        </w:rPr>
        <w:t>Aim</w:t>
      </w:r>
      <w:proofErr w:type="spellEnd"/>
      <w:r w:rsidRPr="00594F29">
        <w:rPr>
          <w:rFonts w:ascii="SolferinoText-Light" w:eastAsia="Times New Roman" w:hAnsi="SolferinoText-Light" w:cs="Times New Roman"/>
          <w:color w:val="0A0A0A"/>
          <w:kern w:val="36"/>
          <w:sz w:val="48"/>
          <w:szCs w:val="48"/>
          <w:lang w:eastAsia="it-IT"/>
        </w:rPr>
        <w:t xml:space="preserve">, confermate le agevolazioni fiscali per chi investe nelle </w:t>
      </w:r>
      <w:proofErr w:type="spellStart"/>
      <w:r w:rsidRPr="00594F29">
        <w:rPr>
          <w:rFonts w:ascii="SolferinoText-Light" w:eastAsia="Times New Roman" w:hAnsi="SolferinoText-Light" w:cs="Times New Roman"/>
          <w:color w:val="0A0A0A"/>
          <w:kern w:val="36"/>
          <w:sz w:val="48"/>
          <w:szCs w:val="48"/>
          <w:lang w:eastAsia="it-IT"/>
        </w:rPr>
        <w:t>Pmi</w:t>
      </w:r>
      <w:proofErr w:type="spellEnd"/>
      <w:r w:rsidRPr="00594F29">
        <w:rPr>
          <w:rFonts w:ascii="SolferinoText-Light" w:eastAsia="Times New Roman" w:hAnsi="SolferinoText-Light" w:cs="Times New Roman"/>
          <w:color w:val="0A0A0A"/>
          <w:kern w:val="36"/>
          <w:sz w:val="48"/>
          <w:szCs w:val="48"/>
          <w:lang w:eastAsia="it-IT"/>
        </w:rPr>
        <w:t xml:space="preserve"> innovative</w:t>
      </w:r>
    </w:p>
    <w:p w:rsidR="00594F29" w:rsidRDefault="00594F29" w:rsidP="00594F29">
      <w:pPr>
        <w:rPr>
          <w:rFonts w:ascii="BreraCondensed-Regular" w:eastAsia="Times New Roman" w:hAnsi="BreraCondensed-Regular" w:cs="Times New Roman"/>
          <w:spacing w:val="6"/>
          <w:lang w:eastAsia="it-IT"/>
        </w:rPr>
      </w:pPr>
      <w:proofErr w:type="gramStart"/>
      <w:r w:rsidRPr="00594F29">
        <w:rPr>
          <w:rFonts w:ascii="BreraCondensed-Regular" w:eastAsia="Times New Roman" w:hAnsi="BreraCondensed-Regular" w:cs="Times New Roman"/>
          <w:spacing w:val="6"/>
          <w:lang w:eastAsia="it-IT"/>
        </w:rPr>
        <w:t>di</w:t>
      </w:r>
      <w:proofErr w:type="gramEnd"/>
      <w:r w:rsidRPr="00594F29">
        <w:rPr>
          <w:rFonts w:ascii="BreraCondensed-Regular" w:eastAsia="Times New Roman" w:hAnsi="BreraCondensed-Regular" w:cs="Times New Roman"/>
          <w:spacing w:val="6"/>
          <w:lang w:eastAsia="it-IT"/>
        </w:rPr>
        <w:t> </w:t>
      </w:r>
      <w:r w:rsidRPr="00594F29">
        <w:rPr>
          <w:rFonts w:ascii="BreraCondensed-Bold" w:eastAsia="Times New Roman" w:hAnsi="BreraCondensed-Bold" w:cs="Times New Roman"/>
          <w:color w:val="0A0A0A"/>
          <w:spacing w:val="6"/>
          <w:lang w:eastAsia="it-IT"/>
        </w:rPr>
        <w:t xml:space="preserve">Diana </w:t>
      </w:r>
      <w:proofErr w:type="spellStart"/>
      <w:r w:rsidRPr="00594F29">
        <w:rPr>
          <w:rFonts w:ascii="BreraCondensed-Bold" w:eastAsia="Times New Roman" w:hAnsi="BreraCondensed-Bold" w:cs="Times New Roman"/>
          <w:color w:val="0A0A0A"/>
          <w:spacing w:val="6"/>
          <w:lang w:eastAsia="it-IT"/>
        </w:rPr>
        <w:t>Cavalcoli</w:t>
      </w:r>
      <w:proofErr w:type="spellEnd"/>
      <w:r>
        <w:rPr>
          <w:rFonts w:ascii="BreraCondensed-Bold" w:eastAsia="Times New Roman" w:hAnsi="BreraCondensed-Bold" w:cs="Times New Roman"/>
          <w:color w:val="0A0A0A"/>
          <w:spacing w:val="6"/>
          <w:lang w:eastAsia="it-IT"/>
        </w:rPr>
        <w:t xml:space="preserve"> </w:t>
      </w:r>
      <w:r w:rsidRPr="00594F29">
        <w:rPr>
          <w:rFonts w:ascii="BreraCondensed-Regular" w:eastAsia="Times New Roman" w:hAnsi="BreraCondensed-Regular" w:cs="Times New Roman"/>
          <w:spacing w:val="6"/>
          <w:lang w:eastAsia="it-IT"/>
        </w:rPr>
        <w:t xml:space="preserve">05 </w:t>
      </w:r>
      <w:proofErr w:type="spellStart"/>
      <w:r w:rsidRPr="00594F29">
        <w:rPr>
          <w:rFonts w:ascii="BreraCondensed-Regular" w:eastAsia="Times New Roman" w:hAnsi="BreraCondensed-Regular" w:cs="Times New Roman"/>
          <w:spacing w:val="6"/>
          <w:lang w:eastAsia="it-IT"/>
        </w:rPr>
        <w:t>gen</w:t>
      </w:r>
      <w:proofErr w:type="spellEnd"/>
      <w:r w:rsidRPr="00594F29">
        <w:rPr>
          <w:rFonts w:ascii="BreraCondensed-Regular" w:eastAsia="Times New Roman" w:hAnsi="BreraCondensed-Regular" w:cs="Times New Roman"/>
          <w:spacing w:val="6"/>
          <w:lang w:eastAsia="it-IT"/>
        </w:rPr>
        <w:t xml:space="preserve"> 2021</w:t>
      </w:r>
    </w:p>
    <w:p w:rsidR="00594F29" w:rsidRDefault="00594F29" w:rsidP="00594F29">
      <w:pPr>
        <w:rPr>
          <w:rFonts w:ascii="BreraCondensed-Regular" w:eastAsia="Times New Roman" w:hAnsi="BreraCondensed-Regular" w:cs="Times New Roman"/>
          <w:spacing w:val="6"/>
          <w:lang w:eastAsia="it-IT"/>
        </w:rPr>
      </w:pPr>
    </w:p>
    <w:p w:rsidR="00594F29" w:rsidRPr="00594F29" w:rsidRDefault="00594F29" w:rsidP="00594F29">
      <w:pPr>
        <w:rPr>
          <w:rFonts w:ascii="Times New Roman" w:eastAsia="Times New Roman" w:hAnsi="Times New Roman" w:cs="Times New Roman"/>
          <w:lang w:eastAsia="it-IT"/>
        </w:rPr>
      </w:pPr>
      <w:r w:rsidRPr="00594F29">
        <w:rPr>
          <w:rFonts w:ascii="SolferinoText-Regular" w:eastAsia="Times New Roman" w:hAnsi="SolferinoText-Regular" w:cs="Times New Roman"/>
          <w:color w:val="0A0A0A"/>
          <w:sz w:val="27"/>
          <w:szCs w:val="27"/>
          <w:shd w:val="clear" w:color="auto" w:fill="FFFFFF"/>
          <w:lang w:eastAsia="it-IT"/>
        </w:rPr>
        <w:t xml:space="preserve">Buone notizie per le </w:t>
      </w:r>
      <w:proofErr w:type="spellStart"/>
      <w:r w:rsidRPr="00594F29">
        <w:rPr>
          <w:rFonts w:ascii="SolferinoText-Regular" w:eastAsia="Times New Roman" w:hAnsi="SolferinoText-Regular" w:cs="Times New Roman"/>
          <w:color w:val="0A0A0A"/>
          <w:sz w:val="27"/>
          <w:szCs w:val="27"/>
          <w:shd w:val="clear" w:color="auto" w:fill="FFFFFF"/>
          <w:lang w:eastAsia="it-IT"/>
        </w:rPr>
        <w:t>Pmi</w:t>
      </w:r>
      <w:proofErr w:type="spellEnd"/>
      <w:r w:rsidRPr="00594F29">
        <w:rPr>
          <w:rFonts w:ascii="SolferinoText-Regular" w:eastAsia="Times New Roman" w:hAnsi="SolferinoText-Regular" w:cs="Times New Roman"/>
          <w:color w:val="0A0A0A"/>
          <w:sz w:val="27"/>
          <w:szCs w:val="27"/>
          <w:shd w:val="clear" w:color="auto" w:fill="FFFFFF"/>
          <w:lang w:eastAsia="it-IT"/>
        </w:rPr>
        <w:t xml:space="preserve"> innovative. L’Agenzia dell’Entrate con </w:t>
      </w:r>
      <w:hyperlink r:id="rId4" w:tgtFrame="_blank" w:history="1">
        <w:r w:rsidRPr="00594F29">
          <w:rPr>
            <w:rFonts w:ascii="SolferinoText-Regular" w:eastAsia="Times New Roman" w:hAnsi="SolferinoText-Regular" w:cs="Times New Roman"/>
            <w:b/>
            <w:bCs/>
            <w:color w:val="0000FF"/>
            <w:sz w:val="27"/>
            <w:szCs w:val="27"/>
            <w:u w:val="single"/>
            <w:lang w:eastAsia="it-IT"/>
          </w:rPr>
          <w:t>un’apposita circolare</w:t>
        </w:r>
      </w:hyperlink>
      <w:r w:rsidRPr="00594F29">
        <w:rPr>
          <w:rFonts w:ascii="SolferinoText-Regular" w:eastAsia="Times New Roman" w:hAnsi="SolferinoText-Regular" w:cs="Times New Roman"/>
          <w:color w:val="0A0A0A"/>
          <w:sz w:val="27"/>
          <w:szCs w:val="27"/>
          <w:shd w:val="clear" w:color="auto" w:fill="FFFFFF"/>
          <w:lang w:eastAsia="it-IT"/>
        </w:rPr>
        <w:t> ha confermato il </w:t>
      </w:r>
      <w:r w:rsidRPr="00594F29">
        <w:rPr>
          <w:rFonts w:ascii="SolferinoText-Regular" w:eastAsia="Times New Roman" w:hAnsi="SolferinoText-Regular" w:cs="Times New Roman"/>
          <w:b/>
          <w:bCs/>
          <w:color w:val="0A0A0A"/>
          <w:sz w:val="27"/>
          <w:szCs w:val="27"/>
          <w:lang w:eastAsia="it-IT"/>
        </w:rPr>
        <w:t xml:space="preserve">mantenimento delle agevolazioni fiscali per chi investe nelle Piccole e medie imprese innovative quotate su </w:t>
      </w:r>
      <w:proofErr w:type="spellStart"/>
      <w:r w:rsidRPr="00594F29">
        <w:rPr>
          <w:rFonts w:ascii="SolferinoText-Regular" w:eastAsia="Times New Roman" w:hAnsi="SolferinoText-Regular" w:cs="Times New Roman"/>
          <w:b/>
          <w:bCs/>
          <w:color w:val="0A0A0A"/>
          <w:sz w:val="27"/>
          <w:szCs w:val="27"/>
          <w:lang w:eastAsia="it-IT"/>
        </w:rPr>
        <w:t>Aim</w:t>
      </w:r>
      <w:proofErr w:type="spellEnd"/>
      <w:r w:rsidRPr="00594F29">
        <w:rPr>
          <w:rFonts w:ascii="SolferinoText-Regular" w:eastAsia="Times New Roman" w:hAnsi="SolferinoText-Regular" w:cs="Times New Roman"/>
          <w:color w:val="0A0A0A"/>
          <w:sz w:val="27"/>
          <w:szCs w:val="27"/>
          <w:shd w:val="clear" w:color="auto" w:fill="FFFFFF"/>
          <w:lang w:eastAsia="it-IT"/>
        </w:rPr>
        <w:t xml:space="preserve">. Un decisione non scontata data l’equiparazione dei sistemi multilaterali di negoziazione, in sigla </w:t>
      </w:r>
      <w:proofErr w:type="spellStart"/>
      <w:r w:rsidRPr="00594F29">
        <w:rPr>
          <w:rFonts w:ascii="SolferinoText-Regular" w:eastAsia="Times New Roman" w:hAnsi="SolferinoText-Regular" w:cs="Times New Roman"/>
          <w:color w:val="0A0A0A"/>
          <w:sz w:val="27"/>
          <w:szCs w:val="27"/>
          <w:shd w:val="clear" w:color="auto" w:fill="FFFFFF"/>
          <w:lang w:eastAsia="it-IT"/>
        </w:rPr>
        <w:t>Mtf</w:t>
      </w:r>
      <w:proofErr w:type="spellEnd"/>
      <w:r w:rsidRPr="00594F29">
        <w:rPr>
          <w:rFonts w:ascii="SolferinoText-Regular" w:eastAsia="Times New Roman" w:hAnsi="SolferinoText-Regular" w:cs="Times New Roman"/>
          <w:color w:val="0A0A0A"/>
          <w:sz w:val="27"/>
          <w:szCs w:val="27"/>
          <w:shd w:val="clear" w:color="auto" w:fill="FFFFFF"/>
          <w:lang w:eastAsia="it-IT"/>
        </w:rPr>
        <w:t xml:space="preserve"> (in cui rientra </w:t>
      </w:r>
      <w:proofErr w:type="spellStart"/>
      <w:r w:rsidRPr="00594F29">
        <w:rPr>
          <w:rFonts w:ascii="SolferinoText-Regular" w:eastAsia="Times New Roman" w:hAnsi="SolferinoText-Regular" w:cs="Times New Roman"/>
          <w:color w:val="0A0A0A"/>
          <w:sz w:val="27"/>
          <w:szCs w:val="27"/>
          <w:shd w:val="clear" w:color="auto" w:fill="FFFFFF"/>
          <w:lang w:eastAsia="it-IT"/>
        </w:rPr>
        <w:t>Aim</w:t>
      </w:r>
      <w:proofErr w:type="spellEnd"/>
      <w:r w:rsidRPr="00594F29">
        <w:rPr>
          <w:rFonts w:ascii="SolferinoText-Regular" w:eastAsia="Times New Roman" w:hAnsi="SolferinoText-Regular" w:cs="Times New Roman"/>
          <w:color w:val="0A0A0A"/>
          <w:sz w:val="27"/>
          <w:szCs w:val="27"/>
          <w:shd w:val="clear" w:color="auto" w:fill="FFFFFF"/>
          <w:lang w:eastAsia="it-IT"/>
        </w:rPr>
        <w:t>) ai mercati regolamentati. Dice </w:t>
      </w:r>
      <w:r w:rsidRPr="00594F29">
        <w:rPr>
          <w:rFonts w:ascii="SolferinoText-Regular" w:eastAsia="Times New Roman" w:hAnsi="SolferinoText-Regular" w:cs="Times New Roman"/>
          <w:b/>
          <w:bCs/>
          <w:color w:val="0A0A0A"/>
          <w:sz w:val="27"/>
          <w:szCs w:val="27"/>
          <w:lang w:eastAsia="it-IT"/>
        </w:rPr>
        <w:t xml:space="preserve">Anna Lambiase, fondatore e </w:t>
      </w:r>
      <w:proofErr w:type="spellStart"/>
      <w:r w:rsidRPr="00594F29">
        <w:rPr>
          <w:rFonts w:ascii="SolferinoText-Regular" w:eastAsia="Times New Roman" w:hAnsi="SolferinoText-Regular" w:cs="Times New Roman"/>
          <w:b/>
          <w:bCs/>
          <w:color w:val="0A0A0A"/>
          <w:sz w:val="27"/>
          <w:szCs w:val="27"/>
          <w:lang w:eastAsia="it-IT"/>
        </w:rPr>
        <w:t>ceo</w:t>
      </w:r>
      <w:proofErr w:type="spellEnd"/>
      <w:r w:rsidRPr="00594F29">
        <w:rPr>
          <w:rFonts w:ascii="SolferinoText-Regular" w:eastAsia="Times New Roman" w:hAnsi="SolferinoText-Regular" w:cs="Times New Roman"/>
          <w:b/>
          <w:bCs/>
          <w:color w:val="0A0A0A"/>
          <w:sz w:val="27"/>
          <w:szCs w:val="27"/>
          <w:lang w:eastAsia="it-IT"/>
        </w:rPr>
        <w:t xml:space="preserve"> di </w:t>
      </w:r>
      <w:proofErr w:type="spellStart"/>
      <w:r w:rsidRPr="00594F29">
        <w:rPr>
          <w:rFonts w:ascii="SolferinoText-Regular" w:eastAsia="Times New Roman" w:hAnsi="SolferinoText-Regular" w:cs="Times New Roman"/>
          <w:b/>
          <w:bCs/>
          <w:color w:val="0A0A0A"/>
          <w:sz w:val="27"/>
          <w:szCs w:val="27"/>
          <w:lang w:eastAsia="it-IT"/>
        </w:rPr>
        <w:t>Ir</w:t>
      </w:r>
      <w:proofErr w:type="spellEnd"/>
      <w:r w:rsidRPr="00594F29">
        <w:rPr>
          <w:rFonts w:ascii="SolferinoText-Regular" w:eastAsia="Times New Roman" w:hAnsi="SolferinoText-Regular" w:cs="Times New Roman"/>
          <w:b/>
          <w:bCs/>
          <w:color w:val="0A0A0A"/>
          <w:sz w:val="27"/>
          <w:szCs w:val="27"/>
          <w:lang w:eastAsia="it-IT"/>
        </w:rPr>
        <w:t xml:space="preserve"> Top </w:t>
      </w:r>
      <w:proofErr w:type="spellStart"/>
      <w:r w:rsidRPr="00594F29">
        <w:rPr>
          <w:rFonts w:ascii="SolferinoText-Regular" w:eastAsia="Times New Roman" w:hAnsi="SolferinoText-Regular" w:cs="Times New Roman"/>
          <w:b/>
          <w:bCs/>
          <w:color w:val="0A0A0A"/>
          <w:sz w:val="27"/>
          <w:szCs w:val="27"/>
          <w:lang w:eastAsia="it-IT"/>
        </w:rPr>
        <w:t>Consulting</w:t>
      </w:r>
      <w:proofErr w:type="spellEnd"/>
      <w:r w:rsidRPr="00594F29">
        <w:rPr>
          <w:rFonts w:ascii="SolferinoText-Regular" w:eastAsia="Times New Roman" w:hAnsi="SolferinoText-Regular" w:cs="Times New Roman"/>
          <w:b/>
          <w:bCs/>
          <w:color w:val="0A0A0A"/>
          <w:sz w:val="27"/>
          <w:szCs w:val="27"/>
          <w:lang w:eastAsia="it-IT"/>
        </w:rPr>
        <w:t xml:space="preserve">, società di </w:t>
      </w:r>
      <w:proofErr w:type="spellStart"/>
      <w:r w:rsidRPr="00594F29">
        <w:rPr>
          <w:rFonts w:ascii="SolferinoText-Regular" w:eastAsia="Times New Roman" w:hAnsi="SolferinoText-Regular" w:cs="Times New Roman"/>
          <w:b/>
          <w:bCs/>
          <w:color w:val="0A0A0A"/>
          <w:sz w:val="27"/>
          <w:szCs w:val="27"/>
          <w:lang w:eastAsia="it-IT"/>
        </w:rPr>
        <w:t>advisory</w:t>
      </w:r>
      <w:proofErr w:type="spellEnd"/>
      <w:r w:rsidRPr="00594F29">
        <w:rPr>
          <w:rFonts w:ascii="SolferinoText-Regular" w:eastAsia="Times New Roman" w:hAnsi="SolferinoText-Regular" w:cs="Times New Roman"/>
          <w:b/>
          <w:bCs/>
          <w:color w:val="0A0A0A"/>
          <w:sz w:val="27"/>
          <w:szCs w:val="27"/>
          <w:lang w:eastAsia="it-IT"/>
        </w:rPr>
        <w:t xml:space="preserve"> per la quotazione in Borsa</w:t>
      </w:r>
      <w:r w:rsidRPr="00594F29">
        <w:rPr>
          <w:rFonts w:ascii="SolferinoText-Regular" w:eastAsia="Times New Roman" w:hAnsi="SolferinoText-Regular" w:cs="Times New Roman"/>
          <w:color w:val="0A0A0A"/>
          <w:sz w:val="27"/>
          <w:szCs w:val="27"/>
          <w:shd w:val="clear" w:color="auto" w:fill="FFFFFF"/>
          <w:lang w:eastAsia="it-IT"/>
        </w:rPr>
        <w:t xml:space="preserve">: «È una decisione che va a favore delle </w:t>
      </w:r>
      <w:proofErr w:type="spellStart"/>
      <w:r w:rsidRPr="00594F29">
        <w:rPr>
          <w:rFonts w:ascii="SolferinoText-Regular" w:eastAsia="Times New Roman" w:hAnsi="SolferinoText-Regular" w:cs="Times New Roman"/>
          <w:color w:val="0A0A0A"/>
          <w:sz w:val="27"/>
          <w:szCs w:val="27"/>
          <w:shd w:val="clear" w:color="auto" w:fill="FFFFFF"/>
          <w:lang w:eastAsia="it-IT"/>
        </w:rPr>
        <w:t>Pmi</w:t>
      </w:r>
      <w:proofErr w:type="spellEnd"/>
      <w:r w:rsidRPr="00594F29">
        <w:rPr>
          <w:rFonts w:ascii="SolferinoText-Regular" w:eastAsia="Times New Roman" w:hAnsi="SolferinoText-Regular" w:cs="Times New Roman"/>
          <w:color w:val="0A0A0A"/>
          <w:sz w:val="27"/>
          <w:szCs w:val="27"/>
          <w:shd w:val="clear" w:color="auto" w:fill="FFFFFF"/>
          <w:lang w:eastAsia="it-IT"/>
        </w:rPr>
        <w:t xml:space="preserve"> innovative che si quotano sui sistemi multilaterali di negoziazione e in particolare su </w:t>
      </w:r>
      <w:proofErr w:type="spellStart"/>
      <w:r w:rsidRPr="00594F29">
        <w:rPr>
          <w:rFonts w:ascii="SolferinoText-Regular" w:eastAsia="Times New Roman" w:hAnsi="SolferinoText-Regular" w:cs="Times New Roman"/>
          <w:color w:val="0A0A0A"/>
          <w:sz w:val="27"/>
          <w:szCs w:val="27"/>
          <w:shd w:val="clear" w:color="auto" w:fill="FFFFFF"/>
          <w:lang w:eastAsia="it-IT"/>
        </w:rPr>
        <w:t>Aim</w:t>
      </w:r>
      <w:proofErr w:type="spellEnd"/>
      <w:r w:rsidRPr="00594F29">
        <w:rPr>
          <w:rFonts w:ascii="SolferinoText-Regular" w:eastAsia="Times New Roman" w:hAnsi="SolferinoText-Regular" w:cs="Times New Roman"/>
          <w:color w:val="0A0A0A"/>
          <w:sz w:val="27"/>
          <w:szCs w:val="27"/>
          <w:shd w:val="clear" w:color="auto" w:fill="FFFFFF"/>
          <w:lang w:eastAsia="it-IT"/>
        </w:rPr>
        <w:t xml:space="preserve"> </w:t>
      </w:r>
      <w:proofErr w:type="gramStart"/>
      <w:r w:rsidRPr="00594F29">
        <w:rPr>
          <w:rFonts w:ascii="SolferinoText-Regular" w:eastAsia="Times New Roman" w:hAnsi="SolferinoText-Regular" w:cs="Times New Roman"/>
          <w:color w:val="0A0A0A"/>
          <w:sz w:val="27"/>
          <w:szCs w:val="27"/>
          <w:shd w:val="clear" w:color="auto" w:fill="FFFFFF"/>
          <w:lang w:eastAsia="it-IT"/>
        </w:rPr>
        <w:t>Italia .</w:t>
      </w:r>
      <w:proofErr w:type="gramEnd"/>
      <w:r w:rsidRPr="00594F29">
        <w:rPr>
          <w:rFonts w:ascii="SolferinoText-Regular" w:eastAsia="Times New Roman" w:hAnsi="SolferinoText-Regular" w:cs="Times New Roman"/>
          <w:color w:val="0A0A0A"/>
          <w:sz w:val="27"/>
          <w:szCs w:val="27"/>
          <w:shd w:val="clear" w:color="auto" w:fill="FFFFFF"/>
          <w:lang w:eastAsia="it-IT"/>
        </w:rPr>
        <w:t xml:space="preserve"> Rende infatti vantaggioso in termini fiscali l’investimento in queste società». Non a caso l’Osservatorio </w:t>
      </w:r>
      <w:proofErr w:type="spellStart"/>
      <w:r w:rsidRPr="00594F29">
        <w:rPr>
          <w:rFonts w:ascii="SolferinoText-Regular" w:eastAsia="Times New Roman" w:hAnsi="SolferinoText-Regular" w:cs="Times New Roman"/>
          <w:color w:val="0A0A0A"/>
          <w:sz w:val="27"/>
          <w:szCs w:val="27"/>
          <w:shd w:val="clear" w:color="auto" w:fill="FFFFFF"/>
          <w:lang w:eastAsia="it-IT"/>
        </w:rPr>
        <w:t>Aim</w:t>
      </w:r>
      <w:proofErr w:type="spellEnd"/>
      <w:r w:rsidRPr="00594F29">
        <w:rPr>
          <w:rFonts w:ascii="SolferinoText-Regular" w:eastAsia="Times New Roman" w:hAnsi="SolferinoText-Regular" w:cs="Times New Roman"/>
          <w:color w:val="0A0A0A"/>
          <w:sz w:val="27"/>
          <w:szCs w:val="27"/>
          <w:shd w:val="clear" w:color="auto" w:fill="FFFFFF"/>
          <w:lang w:eastAsia="it-IT"/>
        </w:rPr>
        <w:t xml:space="preserve"> di </w:t>
      </w:r>
      <w:proofErr w:type="spellStart"/>
      <w:r w:rsidRPr="00594F29">
        <w:rPr>
          <w:rFonts w:ascii="SolferinoText-Regular" w:eastAsia="Times New Roman" w:hAnsi="SolferinoText-Regular" w:cs="Times New Roman"/>
          <w:color w:val="0A0A0A"/>
          <w:sz w:val="27"/>
          <w:szCs w:val="27"/>
          <w:shd w:val="clear" w:color="auto" w:fill="FFFFFF"/>
          <w:lang w:eastAsia="it-IT"/>
        </w:rPr>
        <w:t>Ir</w:t>
      </w:r>
      <w:proofErr w:type="spellEnd"/>
      <w:r w:rsidRPr="00594F29">
        <w:rPr>
          <w:rFonts w:ascii="SolferinoText-Regular" w:eastAsia="Times New Roman" w:hAnsi="SolferinoText-Regular" w:cs="Times New Roman"/>
          <w:color w:val="0A0A0A"/>
          <w:sz w:val="27"/>
          <w:szCs w:val="27"/>
          <w:shd w:val="clear" w:color="auto" w:fill="FFFFFF"/>
          <w:lang w:eastAsia="it-IT"/>
        </w:rPr>
        <w:t xml:space="preserve"> Top </w:t>
      </w:r>
      <w:proofErr w:type="spellStart"/>
      <w:r w:rsidRPr="00594F29">
        <w:rPr>
          <w:rFonts w:ascii="SolferinoText-Regular" w:eastAsia="Times New Roman" w:hAnsi="SolferinoText-Regular" w:cs="Times New Roman"/>
          <w:color w:val="0A0A0A"/>
          <w:sz w:val="27"/>
          <w:szCs w:val="27"/>
          <w:shd w:val="clear" w:color="auto" w:fill="FFFFFF"/>
          <w:lang w:eastAsia="it-IT"/>
        </w:rPr>
        <w:t>Consulting</w:t>
      </w:r>
      <w:proofErr w:type="spellEnd"/>
      <w:r w:rsidRPr="00594F29">
        <w:rPr>
          <w:rFonts w:ascii="SolferinoText-Regular" w:eastAsia="Times New Roman" w:hAnsi="SolferinoText-Regular" w:cs="Times New Roman"/>
          <w:color w:val="0A0A0A"/>
          <w:sz w:val="27"/>
          <w:szCs w:val="27"/>
          <w:shd w:val="clear" w:color="auto" w:fill="FFFFFF"/>
          <w:lang w:eastAsia="it-IT"/>
        </w:rPr>
        <w:t xml:space="preserve"> aveva richiesto all’Agenzia il mantenimento delle agevolazioni considerando le numerose </w:t>
      </w:r>
      <w:proofErr w:type="spellStart"/>
      <w:r w:rsidRPr="00594F29">
        <w:rPr>
          <w:rFonts w:ascii="SolferinoText-Regular" w:eastAsia="Times New Roman" w:hAnsi="SolferinoText-Regular" w:cs="Times New Roman"/>
          <w:color w:val="0A0A0A"/>
          <w:sz w:val="27"/>
          <w:szCs w:val="27"/>
          <w:shd w:val="clear" w:color="auto" w:fill="FFFFFF"/>
          <w:lang w:eastAsia="it-IT"/>
        </w:rPr>
        <w:t>Pmi</w:t>
      </w:r>
      <w:proofErr w:type="spellEnd"/>
      <w:r w:rsidRPr="00594F29">
        <w:rPr>
          <w:rFonts w:ascii="SolferinoText-Regular" w:eastAsia="Times New Roman" w:hAnsi="SolferinoText-Regular" w:cs="Times New Roman"/>
          <w:color w:val="0A0A0A"/>
          <w:sz w:val="27"/>
          <w:szCs w:val="27"/>
          <w:shd w:val="clear" w:color="auto" w:fill="FFFFFF"/>
          <w:lang w:eastAsia="it-IT"/>
        </w:rPr>
        <w:t xml:space="preserve"> innovative presenti sul listino: il 41% del totale e circa il 25% dell’intera capitalizzazione del mercato azionario. Società che senza la circolare di cui sopra avrebbero perso le disposizioni agevolative, vitali per lo sviluppo futuro del mercato dei capitali dedicato alle </w:t>
      </w:r>
      <w:proofErr w:type="spellStart"/>
      <w:r w:rsidRPr="00594F29">
        <w:rPr>
          <w:rFonts w:ascii="SolferinoText-Regular" w:eastAsia="Times New Roman" w:hAnsi="SolferinoText-Regular" w:cs="Times New Roman"/>
          <w:color w:val="0A0A0A"/>
          <w:sz w:val="27"/>
          <w:szCs w:val="27"/>
          <w:shd w:val="clear" w:color="auto" w:fill="FFFFFF"/>
          <w:lang w:eastAsia="it-IT"/>
        </w:rPr>
        <w:t>Pmi</w:t>
      </w:r>
      <w:proofErr w:type="spellEnd"/>
      <w:r w:rsidRPr="00594F29">
        <w:rPr>
          <w:rFonts w:ascii="SolferinoText-Regular" w:eastAsia="Times New Roman" w:hAnsi="SolferinoText-Regular" w:cs="Times New Roman"/>
          <w:color w:val="0A0A0A"/>
          <w:sz w:val="27"/>
          <w:szCs w:val="27"/>
          <w:shd w:val="clear" w:color="auto" w:fill="FFFFFF"/>
          <w:lang w:eastAsia="it-IT"/>
        </w:rPr>
        <w:t>.</w:t>
      </w:r>
    </w:p>
    <w:p w:rsidR="00594F29" w:rsidRDefault="00594F29" w:rsidP="00594F29">
      <w:pPr>
        <w:rPr>
          <w:rFonts w:ascii="BreraCondensed-Regular" w:eastAsia="Times New Roman" w:hAnsi="BreraCondensed-Regular" w:cs="Times New Roman"/>
          <w:spacing w:val="6"/>
          <w:lang w:eastAsia="it-IT"/>
        </w:rPr>
      </w:pPr>
    </w:p>
    <w:p w:rsidR="00594F29" w:rsidRPr="00594F29" w:rsidRDefault="00594F29" w:rsidP="00594F29">
      <w:pPr>
        <w:rPr>
          <w:rFonts w:ascii="Times New Roman" w:eastAsia="Times New Roman" w:hAnsi="Times New Roman" w:cs="Times New Roman"/>
          <w:lang w:eastAsia="it-IT"/>
        </w:rPr>
      </w:pPr>
      <w:r w:rsidRPr="00594F29">
        <w:rPr>
          <w:rFonts w:ascii="SolferinoText-Regular" w:eastAsia="Times New Roman" w:hAnsi="SolferinoText-Regular" w:cs="Times New Roman"/>
          <w:color w:val="0A0A0A"/>
          <w:sz w:val="27"/>
          <w:szCs w:val="27"/>
          <w:shd w:val="clear" w:color="auto" w:fill="FFFFFF"/>
          <w:lang w:eastAsia="it-IT"/>
        </w:rPr>
        <w:t xml:space="preserve">L’Agenzia delle Entrate ha quindi confermato il perdurare della disciplina fiscale agevolativa prevista per le </w:t>
      </w:r>
      <w:proofErr w:type="spellStart"/>
      <w:r w:rsidRPr="00594F29">
        <w:rPr>
          <w:rFonts w:ascii="SolferinoText-Regular" w:eastAsia="Times New Roman" w:hAnsi="SolferinoText-Regular" w:cs="Times New Roman"/>
          <w:color w:val="0A0A0A"/>
          <w:sz w:val="27"/>
          <w:szCs w:val="27"/>
          <w:shd w:val="clear" w:color="auto" w:fill="FFFFFF"/>
          <w:lang w:eastAsia="it-IT"/>
        </w:rPr>
        <w:t>Pmi</w:t>
      </w:r>
      <w:proofErr w:type="spellEnd"/>
      <w:r w:rsidRPr="00594F29">
        <w:rPr>
          <w:rFonts w:ascii="SolferinoText-Regular" w:eastAsia="Times New Roman" w:hAnsi="SolferinoText-Regular" w:cs="Times New Roman"/>
          <w:color w:val="0A0A0A"/>
          <w:sz w:val="27"/>
          <w:szCs w:val="27"/>
          <w:shd w:val="clear" w:color="auto" w:fill="FFFFFF"/>
          <w:lang w:eastAsia="it-IT"/>
        </w:rPr>
        <w:t xml:space="preserve"> innovative, anche se le loro azioni sono quotate in un </w:t>
      </w:r>
      <w:proofErr w:type="spellStart"/>
      <w:r w:rsidRPr="00594F29">
        <w:rPr>
          <w:rFonts w:ascii="SolferinoText-Regular" w:eastAsia="Times New Roman" w:hAnsi="SolferinoText-Regular" w:cs="Times New Roman"/>
          <w:color w:val="0A0A0A"/>
          <w:sz w:val="27"/>
          <w:szCs w:val="27"/>
          <w:shd w:val="clear" w:color="auto" w:fill="FFFFFF"/>
          <w:lang w:eastAsia="it-IT"/>
        </w:rPr>
        <w:t>Mtf</w:t>
      </w:r>
      <w:proofErr w:type="spellEnd"/>
      <w:r w:rsidRPr="00594F29">
        <w:rPr>
          <w:rFonts w:ascii="SolferinoText-Regular" w:eastAsia="Times New Roman" w:hAnsi="SolferinoText-Regular" w:cs="Times New Roman"/>
          <w:color w:val="0A0A0A"/>
          <w:sz w:val="27"/>
          <w:szCs w:val="27"/>
          <w:shd w:val="clear" w:color="auto" w:fill="FFFFFF"/>
          <w:lang w:eastAsia="it-IT"/>
        </w:rPr>
        <w:t xml:space="preserve">. «Si mantiene quindi — spiega Lambiase — per gli investitori la detrazione Irpef al 50% dell’importo investito a titolo di capitale. La detrazione al 50% è valida fino a 300mila euro all’anno di investimento oltre quella cifra si applicherà quella ordinaria del 30%. Si tratta quindi di </w:t>
      </w:r>
      <w:proofErr w:type="gramStart"/>
      <w:r w:rsidRPr="00594F29">
        <w:rPr>
          <w:rFonts w:ascii="SolferinoText-Regular" w:eastAsia="Times New Roman" w:hAnsi="SolferinoText-Regular" w:cs="Times New Roman"/>
          <w:color w:val="0A0A0A"/>
          <w:sz w:val="27"/>
          <w:szCs w:val="27"/>
          <w:shd w:val="clear" w:color="auto" w:fill="FFFFFF"/>
          <w:lang w:eastAsia="it-IT"/>
        </w:rPr>
        <w:t>un’ opportunità</w:t>
      </w:r>
      <w:proofErr w:type="gramEnd"/>
      <w:r w:rsidRPr="00594F29">
        <w:rPr>
          <w:rFonts w:ascii="SolferinoText-Regular" w:eastAsia="Times New Roman" w:hAnsi="SolferinoText-Regular" w:cs="Times New Roman"/>
          <w:color w:val="0A0A0A"/>
          <w:sz w:val="27"/>
          <w:szCs w:val="27"/>
          <w:shd w:val="clear" w:color="auto" w:fill="FFFFFF"/>
          <w:lang w:eastAsia="it-IT"/>
        </w:rPr>
        <w:t xml:space="preserve"> fiscale importante per gli investitori a medio lungo termine presenti sul mercato». L’Osservatorio </w:t>
      </w:r>
      <w:proofErr w:type="spellStart"/>
      <w:r w:rsidRPr="00594F29">
        <w:rPr>
          <w:rFonts w:ascii="SolferinoText-Regular" w:eastAsia="Times New Roman" w:hAnsi="SolferinoText-Regular" w:cs="Times New Roman"/>
          <w:color w:val="0A0A0A"/>
          <w:sz w:val="27"/>
          <w:szCs w:val="27"/>
          <w:shd w:val="clear" w:color="auto" w:fill="FFFFFF"/>
          <w:lang w:eastAsia="it-IT"/>
        </w:rPr>
        <w:t>Aim</w:t>
      </w:r>
      <w:proofErr w:type="spellEnd"/>
      <w:r w:rsidRPr="00594F29">
        <w:rPr>
          <w:rFonts w:ascii="SolferinoText-Regular" w:eastAsia="Times New Roman" w:hAnsi="SolferinoText-Regular" w:cs="Times New Roman"/>
          <w:color w:val="0A0A0A"/>
          <w:sz w:val="27"/>
          <w:szCs w:val="27"/>
          <w:shd w:val="clear" w:color="auto" w:fill="FFFFFF"/>
          <w:lang w:eastAsia="it-IT"/>
        </w:rPr>
        <w:t xml:space="preserve"> rileva infatti come l’investimento medio degli investitori professionali su </w:t>
      </w:r>
      <w:proofErr w:type="spellStart"/>
      <w:r w:rsidRPr="00594F29">
        <w:rPr>
          <w:rFonts w:ascii="SolferinoText-Regular" w:eastAsia="Times New Roman" w:hAnsi="SolferinoText-Regular" w:cs="Times New Roman"/>
          <w:color w:val="0A0A0A"/>
          <w:sz w:val="27"/>
          <w:szCs w:val="27"/>
          <w:shd w:val="clear" w:color="auto" w:fill="FFFFFF"/>
          <w:lang w:eastAsia="it-IT"/>
        </w:rPr>
        <w:t>Aim</w:t>
      </w:r>
      <w:proofErr w:type="spellEnd"/>
      <w:r w:rsidRPr="00594F29">
        <w:rPr>
          <w:rFonts w:ascii="SolferinoText-Regular" w:eastAsia="Times New Roman" w:hAnsi="SolferinoText-Regular" w:cs="Times New Roman"/>
          <w:color w:val="0A0A0A"/>
          <w:sz w:val="27"/>
          <w:szCs w:val="27"/>
          <w:shd w:val="clear" w:color="auto" w:fill="FFFFFF"/>
          <w:lang w:eastAsia="it-IT"/>
        </w:rPr>
        <w:t xml:space="preserve"> sia pari a 300 mila euro. Risorse fondamentali per le società che possono così proseguire gli investimenti in innovazione e ricerca e sviluppo, oltre che in personale qualificato e nell’internazionalizzazione. Per le società che investono in </w:t>
      </w:r>
      <w:proofErr w:type="spellStart"/>
      <w:r w:rsidRPr="00594F29">
        <w:rPr>
          <w:rFonts w:ascii="SolferinoText-Regular" w:eastAsia="Times New Roman" w:hAnsi="SolferinoText-Regular" w:cs="Times New Roman"/>
          <w:color w:val="0A0A0A"/>
          <w:sz w:val="27"/>
          <w:szCs w:val="27"/>
          <w:shd w:val="clear" w:color="auto" w:fill="FFFFFF"/>
          <w:lang w:eastAsia="it-IT"/>
        </w:rPr>
        <w:t>pmi</w:t>
      </w:r>
      <w:proofErr w:type="spellEnd"/>
      <w:r w:rsidRPr="00594F29">
        <w:rPr>
          <w:rFonts w:ascii="SolferinoText-Regular" w:eastAsia="Times New Roman" w:hAnsi="SolferinoText-Regular" w:cs="Times New Roman"/>
          <w:color w:val="0A0A0A"/>
          <w:sz w:val="27"/>
          <w:szCs w:val="27"/>
          <w:shd w:val="clear" w:color="auto" w:fill="FFFFFF"/>
          <w:lang w:eastAsia="it-IT"/>
        </w:rPr>
        <w:t xml:space="preserve"> innovative invece, vale la pena ricordare, che resta valida la deduzione </w:t>
      </w:r>
      <w:proofErr w:type="spellStart"/>
      <w:r w:rsidRPr="00594F29">
        <w:rPr>
          <w:rFonts w:ascii="SolferinoText-Regular" w:eastAsia="Times New Roman" w:hAnsi="SolferinoText-Regular" w:cs="Times New Roman"/>
          <w:color w:val="0A0A0A"/>
          <w:sz w:val="27"/>
          <w:szCs w:val="27"/>
          <w:shd w:val="clear" w:color="auto" w:fill="FFFFFF"/>
          <w:lang w:eastAsia="it-IT"/>
        </w:rPr>
        <w:t>Ires</w:t>
      </w:r>
      <w:proofErr w:type="spellEnd"/>
      <w:r w:rsidRPr="00594F29">
        <w:rPr>
          <w:rFonts w:ascii="SolferinoText-Regular" w:eastAsia="Times New Roman" w:hAnsi="SolferinoText-Regular" w:cs="Times New Roman"/>
          <w:color w:val="0A0A0A"/>
          <w:sz w:val="27"/>
          <w:szCs w:val="27"/>
          <w:shd w:val="clear" w:color="auto" w:fill="FFFFFF"/>
          <w:lang w:eastAsia="it-IT"/>
        </w:rPr>
        <w:t xml:space="preserve"> al 30% per un ammontare massimo annuo di 1.8 milioni di euro.</w:t>
      </w:r>
    </w:p>
    <w:p w:rsidR="00594F29" w:rsidRDefault="00594F29" w:rsidP="00594F29">
      <w:pPr>
        <w:rPr>
          <w:rFonts w:ascii="BreraCondensed-Regular" w:eastAsia="Times New Roman" w:hAnsi="BreraCondensed-Regular" w:cs="Times New Roman"/>
          <w:spacing w:val="6"/>
          <w:lang w:eastAsia="it-IT"/>
        </w:rPr>
      </w:pPr>
    </w:p>
    <w:p w:rsidR="00594F29" w:rsidRDefault="00594F29" w:rsidP="00594F29">
      <w:pPr>
        <w:pStyle w:val="Titolo5"/>
        <w:rPr>
          <w:rFonts w:ascii="BreraCondensed-Heavy" w:hAnsi="BreraCondensed-Heavy"/>
          <w:color w:val="136786"/>
          <w:sz w:val="27"/>
          <w:szCs w:val="27"/>
        </w:rPr>
      </w:pPr>
      <w:r>
        <w:rPr>
          <w:rFonts w:ascii="BreraCondensed-Heavy" w:hAnsi="BreraCondensed-Heavy"/>
          <w:color w:val="136786"/>
          <w:sz w:val="27"/>
          <w:szCs w:val="27"/>
        </w:rPr>
        <w:t xml:space="preserve">Le </w:t>
      </w:r>
      <w:proofErr w:type="spellStart"/>
      <w:r>
        <w:rPr>
          <w:rFonts w:ascii="BreraCondensed-Heavy" w:hAnsi="BreraCondensed-Heavy"/>
          <w:color w:val="136786"/>
          <w:sz w:val="27"/>
          <w:szCs w:val="27"/>
        </w:rPr>
        <w:t>Ipo</w:t>
      </w:r>
      <w:proofErr w:type="spellEnd"/>
      <w:r>
        <w:rPr>
          <w:rFonts w:ascii="BreraCondensed-Heavy" w:hAnsi="BreraCondensed-Heavy"/>
          <w:color w:val="136786"/>
          <w:sz w:val="27"/>
          <w:szCs w:val="27"/>
        </w:rPr>
        <w:t xml:space="preserve"> 2020</w:t>
      </w:r>
    </w:p>
    <w:p w:rsidR="00594F29" w:rsidRDefault="00594F29" w:rsidP="00594F29">
      <w:pPr>
        <w:pStyle w:val="chapter-paragraph"/>
        <w:spacing w:before="0" w:beforeAutospacing="0" w:after="0" w:afterAutospacing="0"/>
        <w:rPr>
          <w:rFonts w:ascii="SolferinoText-Regular" w:hAnsi="SolferinoText-Regular"/>
          <w:color w:val="0A0A0A"/>
        </w:rPr>
      </w:pPr>
      <w:proofErr w:type="spellStart"/>
      <w:r>
        <w:rPr>
          <w:rFonts w:ascii="SolferinoText-Regular" w:hAnsi="SolferinoText-Regular"/>
          <w:color w:val="0A0A0A"/>
        </w:rPr>
        <w:t>Aim</w:t>
      </w:r>
      <w:proofErr w:type="spellEnd"/>
      <w:r>
        <w:rPr>
          <w:rFonts w:ascii="SolferinoText-Regular" w:hAnsi="SolferinoText-Regular"/>
          <w:color w:val="0A0A0A"/>
        </w:rPr>
        <w:t xml:space="preserve"> Italia ha evidenziato il maggior numero di collocamenti rispetto al mercato principale (</w:t>
      </w:r>
      <w:proofErr w:type="spellStart"/>
      <w:r>
        <w:rPr>
          <w:rFonts w:ascii="SolferinoText-Regular" w:hAnsi="SolferinoText-Regular"/>
          <w:color w:val="0A0A0A"/>
        </w:rPr>
        <w:t>Mta</w:t>
      </w:r>
      <w:proofErr w:type="spellEnd"/>
      <w:r>
        <w:rPr>
          <w:rFonts w:ascii="SolferinoText-Regular" w:hAnsi="SolferinoText-Regular"/>
          <w:color w:val="0A0A0A"/>
        </w:rPr>
        <w:t>).</w:t>
      </w:r>
      <w:r>
        <w:rPr>
          <w:rStyle w:val="apple-converted-space"/>
          <w:rFonts w:ascii="SolferinoText-Regular" w:hAnsi="SolferinoText-Regular"/>
          <w:color w:val="0A0A0A"/>
        </w:rPr>
        <w:t> </w:t>
      </w:r>
      <w:r>
        <w:rPr>
          <w:rFonts w:ascii="SolferinoText-Regular" w:hAnsi="SolferinoText-Regular"/>
          <w:b/>
          <w:bCs/>
          <w:color w:val="0A0A0A"/>
        </w:rPr>
        <w:t xml:space="preserve">Nel 2020 il mercato per la crescita delle </w:t>
      </w:r>
      <w:proofErr w:type="spellStart"/>
      <w:r>
        <w:rPr>
          <w:rFonts w:ascii="SolferinoText-Regular" w:hAnsi="SolferinoText-Regular"/>
          <w:b/>
          <w:bCs/>
          <w:color w:val="0A0A0A"/>
        </w:rPr>
        <w:t>Pmi</w:t>
      </w:r>
      <w:proofErr w:type="spellEnd"/>
      <w:r>
        <w:rPr>
          <w:rFonts w:ascii="SolferinoText-Regular" w:hAnsi="SolferinoText-Regular"/>
          <w:b/>
          <w:bCs/>
          <w:color w:val="0A0A0A"/>
        </w:rPr>
        <w:t xml:space="preserve"> conta 23 ammissioni, di cui 21 nuove </w:t>
      </w:r>
      <w:proofErr w:type="spellStart"/>
      <w:r>
        <w:rPr>
          <w:rFonts w:ascii="SolferinoText-Regular" w:hAnsi="SolferinoText-Regular"/>
          <w:b/>
          <w:bCs/>
          <w:color w:val="0A0A0A"/>
        </w:rPr>
        <w:t>Ipo</w:t>
      </w:r>
      <w:proofErr w:type="spellEnd"/>
      <w:r>
        <w:rPr>
          <w:rFonts w:ascii="SolferinoText-Regular" w:hAnsi="SolferinoText-Regular"/>
          <w:b/>
          <w:bCs/>
          <w:color w:val="0A0A0A"/>
        </w:rPr>
        <w:t xml:space="preserve"> e 2 altre ammissioni, in ridimensionamento rispetto al 2019</w:t>
      </w:r>
      <w:r>
        <w:rPr>
          <w:rStyle w:val="apple-converted-space"/>
          <w:rFonts w:ascii="SolferinoText-Regular" w:hAnsi="SolferinoText-Regular"/>
          <w:color w:val="0A0A0A"/>
        </w:rPr>
        <w:t> </w:t>
      </w:r>
      <w:r>
        <w:rPr>
          <w:rFonts w:ascii="SolferinoText-Regular" w:hAnsi="SolferinoText-Regular"/>
          <w:color w:val="0A0A0A"/>
        </w:rPr>
        <w:t xml:space="preserve">(35 quotazioni, di cui 31 </w:t>
      </w:r>
      <w:proofErr w:type="spellStart"/>
      <w:r>
        <w:rPr>
          <w:rFonts w:ascii="SolferinoText-Regular" w:hAnsi="SolferinoText-Regular"/>
          <w:color w:val="0A0A0A"/>
        </w:rPr>
        <w:t>Ipo</w:t>
      </w:r>
      <w:proofErr w:type="spellEnd"/>
      <w:r>
        <w:rPr>
          <w:rFonts w:ascii="SolferinoText-Regular" w:hAnsi="SolferinoText-Regular"/>
          <w:color w:val="0A0A0A"/>
        </w:rPr>
        <w:t xml:space="preserve"> e 4 ammissioni post business </w:t>
      </w:r>
      <w:proofErr w:type="spellStart"/>
      <w:r>
        <w:rPr>
          <w:rFonts w:ascii="SolferinoText-Regular" w:hAnsi="SolferinoText-Regular"/>
          <w:color w:val="0A0A0A"/>
        </w:rPr>
        <w:t>combination</w:t>
      </w:r>
      <w:proofErr w:type="spellEnd"/>
      <w:r>
        <w:rPr>
          <w:rFonts w:ascii="SolferinoText-Regular" w:hAnsi="SolferinoText-Regular"/>
          <w:color w:val="0A0A0A"/>
        </w:rPr>
        <w:t xml:space="preserve">). «I collocamenti — spiega Lambiase — si sono concentrati nella seconda metà dell’anno, tra ottobre e dicembre. E questo è principalmente dovuto agli effetti della pandemia che ha ritardato le </w:t>
      </w:r>
      <w:proofErr w:type="spellStart"/>
      <w:r>
        <w:rPr>
          <w:rFonts w:ascii="SolferinoText-Regular" w:hAnsi="SolferinoText-Regular"/>
          <w:color w:val="0A0A0A"/>
        </w:rPr>
        <w:t>quotazioni</w:t>
      </w:r>
      <w:proofErr w:type="gramStart"/>
      <w:r>
        <w:rPr>
          <w:rFonts w:ascii="SolferinoText-Regular" w:hAnsi="SolferinoText-Regular"/>
          <w:color w:val="0A0A0A"/>
        </w:rPr>
        <w:t>».In</w:t>
      </w:r>
      <w:proofErr w:type="spellEnd"/>
      <w:proofErr w:type="gramEnd"/>
      <w:r>
        <w:rPr>
          <w:rFonts w:ascii="SolferinoText-Regular" w:hAnsi="SolferinoText-Regular"/>
          <w:color w:val="0A0A0A"/>
        </w:rPr>
        <w:t xml:space="preserve"> particolare, sono approdate sul listino dedicato alla crescita delle </w:t>
      </w:r>
      <w:proofErr w:type="spellStart"/>
      <w:r>
        <w:rPr>
          <w:rFonts w:ascii="SolferinoText-Regular" w:hAnsi="SolferinoText-Regular"/>
          <w:color w:val="0A0A0A"/>
        </w:rPr>
        <w:t>Pmi</w:t>
      </w:r>
      <w:proofErr w:type="spellEnd"/>
      <w:r>
        <w:rPr>
          <w:rFonts w:ascii="SolferinoText-Regular" w:hAnsi="SolferinoText-Regular"/>
          <w:color w:val="0A0A0A"/>
        </w:rPr>
        <w:t xml:space="preserve">: </w:t>
      </w:r>
      <w:proofErr w:type="spellStart"/>
      <w:r>
        <w:rPr>
          <w:rFonts w:ascii="SolferinoText-Regular" w:hAnsi="SolferinoText-Regular"/>
          <w:color w:val="0A0A0A"/>
        </w:rPr>
        <w:t>Planetel</w:t>
      </w:r>
      <w:proofErr w:type="spellEnd"/>
      <w:r>
        <w:rPr>
          <w:rFonts w:ascii="SolferinoText-Regular" w:hAnsi="SolferinoText-Regular"/>
          <w:color w:val="0A0A0A"/>
        </w:rPr>
        <w:t xml:space="preserve">, </w:t>
      </w:r>
      <w:proofErr w:type="spellStart"/>
      <w:r>
        <w:rPr>
          <w:rFonts w:ascii="SolferinoText-Regular" w:hAnsi="SolferinoText-Regular"/>
          <w:color w:val="0A0A0A"/>
        </w:rPr>
        <w:t>eVISO</w:t>
      </w:r>
      <w:proofErr w:type="spellEnd"/>
      <w:r>
        <w:rPr>
          <w:rFonts w:ascii="SolferinoText-Regular" w:hAnsi="SolferinoText-Regular"/>
          <w:color w:val="0A0A0A"/>
        </w:rPr>
        <w:t xml:space="preserve">, </w:t>
      </w:r>
      <w:r>
        <w:rPr>
          <w:rFonts w:ascii="SolferinoText-Regular" w:hAnsi="SolferinoText-Regular"/>
          <w:color w:val="0A0A0A"/>
        </w:rPr>
        <w:lastRenderedPageBreak/>
        <w:t xml:space="preserve">Convergenze, </w:t>
      </w:r>
      <w:proofErr w:type="spellStart"/>
      <w:r>
        <w:rPr>
          <w:rFonts w:ascii="SolferinoText-Regular" w:hAnsi="SolferinoText-Regular"/>
          <w:color w:val="0A0A0A"/>
        </w:rPr>
        <w:t>Mit</w:t>
      </w:r>
      <w:proofErr w:type="spellEnd"/>
      <w:r>
        <w:rPr>
          <w:rFonts w:ascii="SolferinoText-Regular" w:hAnsi="SolferinoText-Regular"/>
          <w:color w:val="0A0A0A"/>
        </w:rPr>
        <w:t xml:space="preserve"> </w:t>
      </w:r>
      <w:proofErr w:type="spellStart"/>
      <w:r>
        <w:rPr>
          <w:rFonts w:ascii="SolferinoText-Regular" w:hAnsi="SolferinoText-Regular"/>
          <w:color w:val="0A0A0A"/>
        </w:rPr>
        <w:t>Sim</w:t>
      </w:r>
      <w:proofErr w:type="spellEnd"/>
      <w:r>
        <w:rPr>
          <w:rFonts w:ascii="SolferinoText-Regular" w:hAnsi="SolferinoText-Regular"/>
          <w:color w:val="0A0A0A"/>
        </w:rPr>
        <w:t xml:space="preserve"> (</w:t>
      </w:r>
      <w:proofErr w:type="spellStart"/>
      <w:r>
        <w:rPr>
          <w:rFonts w:ascii="SolferinoText-Regular" w:hAnsi="SolferinoText-Regular"/>
          <w:color w:val="0A0A0A"/>
        </w:rPr>
        <w:t>Aim</w:t>
      </w:r>
      <w:proofErr w:type="spellEnd"/>
      <w:r>
        <w:rPr>
          <w:rFonts w:ascii="SolferinoText-Regular" w:hAnsi="SolferinoText-Regular"/>
          <w:color w:val="0A0A0A"/>
        </w:rPr>
        <w:t xml:space="preserve"> Professional), </w:t>
      </w:r>
      <w:proofErr w:type="spellStart"/>
      <w:r>
        <w:rPr>
          <w:rFonts w:ascii="SolferinoText-Regular" w:hAnsi="SolferinoText-Regular"/>
          <w:color w:val="0A0A0A"/>
        </w:rPr>
        <w:t>Igeamed</w:t>
      </w:r>
      <w:proofErr w:type="spellEnd"/>
      <w:r>
        <w:rPr>
          <w:rFonts w:ascii="SolferinoText-Regular" w:hAnsi="SolferinoText-Regular"/>
          <w:color w:val="0A0A0A"/>
        </w:rPr>
        <w:t xml:space="preserve"> (</w:t>
      </w:r>
      <w:proofErr w:type="spellStart"/>
      <w:r>
        <w:rPr>
          <w:rFonts w:ascii="SolferinoText-Regular" w:hAnsi="SolferinoText-Regular"/>
          <w:color w:val="0A0A0A"/>
        </w:rPr>
        <w:t>Aim</w:t>
      </w:r>
      <w:proofErr w:type="spellEnd"/>
      <w:r>
        <w:rPr>
          <w:rFonts w:ascii="SolferinoText-Regular" w:hAnsi="SolferinoText-Regular"/>
          <w:color w:val="0A0A0A"/>
        </w:rPr>
        <w:t xml:space="preserve"> Professional), </w:t>
      </w:r>
      <w:proofErr w:type="spellStart"/>
      <w:r>
        <w:rPr>
          <w:rFonts w:ascii="SolferinoText-Regular" w:hAnsi="SolferinoText-Regular"/>
          <w:color w:val="0A0A0A"/>
        </w:rPr>
        <w:t>Tenax</w:t>
      </w:r>
      <w:proofErr w:type="spellEnd"/>
      <w:r>
        <w:rPr>
          <w:rFonts w:ascii="SolferinoText-Regular" w:hAnsi="SolferinoText-Regular"/>
          <w:color w:val="0A0A0A"/>
        </w:rPr>
        <w:t xml:space="preserve"> International, </w:t>
      </w:r>
      <w:proofErr w:type="spellStart"/>
      <w:r>
        <w:rPr>
          <w:rFonts w:ascii="SolferinoText-Regular" w:hAnsi="SolferinoText-Regular"/>
          <w:color w:val="0A0A0A"/>
        </w:rPr>
        <w:t>Comal</w:t>
      </w:r>
      <w:proofErr w:type="spellEnd"/>
      <w:r>
        <w:rPr>
          <w:rFonts w:ascii="SolferinoText-Regular" w:hAnsi="SolferinoText-Regular"/>
          <w:color w:val="0A0A0A"/>
        </w:rPr>
        <w:t xml:space="preserve">, </w:t>
      </w:r>
      <w:proofErr w:type="spellStart"/>
      <w:r>
        <w:rPr>
          <w:rFonts w:ascii="SolferinoText-Regular" w:hAnsi="SolferinoText-Regular"/>
          <w:color w:val="0A0A0A"/>
        </w:rPr>
        <w:t>Promotica</w:t>
      </w:r>
      <w:proofErr w:type="spellEnd"/>
      <w:r>
        <w:rPr>
          <w:rFonts w:ascii="SolferinoText-Regular" w:hAnsi="SolferinoText-Regular"/>
          <w:color w:val="0A0A0A"/>
        </w:rPr>
        <w:t xml:space="preserve">, </w:t>
      </w:r>
      <w:proofErr w:type="spellStart"/>
      <w:r>
        <w:rPr>
          <w:rFonts w:ascii="SolferinoText-Regular" w:hAnsi="SolferinoText-Regular"/>
          <w:color w:val="0A0A0A"/>
        </w:rPr>
        <w:t>Tecma</w:t>
      </w:r>
      <w:proofErr w:type="spellEnd"/>
      <w:r>
        <w:rPr>
          <w:rFonts w:ascii="SolferinoText-Regular" w:hAnsi="SolferinoText-Regular"/>
          <w:color w:val="0A0A0A"/>
        </w:rPr>
        <w:t xml:space="preserve"> Solutions, Euro </w:t>
      </w:r>
      <w:proofErr w:type="spellStart"/>
      <w:r>
        <w:rPr>
          <w:rFonts w:ascii="SolferinoText-Regular" w:hAnsi="SolferinoText-Regular"/>
          <w:color w:val="0A0A0A"/>
        </w:rPr>
        <w:t>Cosmetic</w:t>
      </w:r>
      <w:proofErr w:type="spellEnd"/>
      <w:r>
        <w:rPr>
          <w:rFonts w:ascii="SolferinoText-Regular" w:hAnsi="SolferinoText-Regular"/>
          <w:color w:val="0A0A0A"/>
        </w:rPr>
        <w:t xml:space="preserve">, OSAI Automation System, </w:t>
      </w:r>
      <w:proofErr w:type="spellStart"/>
      <w:r>
        <w:rPr>
          <w:rFonts w:ascii="SolferinoText-Regular" w:hAnsi="SolferinoText-Regular"/>
          <w:color w:val="0A0A0A"/>
        </w:rPr>
        <w:t>Trendevice</w:t>
      </w:r>
      <w:proofErr w:type="spellEnd"/>
      <w:r>
        <w:rPr>
          <w:rFonts w:ascii="SolferinoText-Regular" w:hAnsi="SolferinoText-Regular"/>
          <w:color w:val="0A0A0A"/>
        </w:rPr>
        <w:t xml:space="preserve">, ESI, </w:t>
      </w:r>
      <w:proofErr w:type="spellStart"/>
      <w:r>
        <w:rPr>
          <w:rFonts w:ascii="SolferinoText-Regular" w:hAnsi="SolferinoText-Regular"/>
          <w:color w:val="0A0A0A"/>
        </w:rPr>
        <w:t>Labomar</w:t>
      </w:r>
      <w:proofErr w:type="spellEnd"/>
      <w:r>
        <w:rPr>
          <w:rFonts w:ascii="SolferinoText-Regular" w:hAnsi="SolferinoText-Regular"/>
          <w:color w:val="0A0A0A"/>
        </w:rPr>
        <w:t xml:space="preserve">, Reti, </w:t>
      </w:r>
      <w:proofErr w:type="spellStart"/>
      <w:r>
        <w:rPr>
          <w:rFonts w:ascii="SolferinoText-Regular" w:hAnsi="SolferinoText-Regular"/>
          <w:color w:val="0A0A0A"/>
        </w:rPr>
        <w:t>Fenix</w:t>
      </w:r>
      <w:proofErr w:type="spellEnd"/>
      <w:r>
        <w:rPr>
          <w:rFonts w:ascii="SolferinoText-Regular" w:hAnsi="SolferinoText-Regular"/>
          <w:color w:val="0A0A0A"/>
        </w:rPr>
        <w:t xml:space="preserve"> Entertainment (AIM Professional), </w:t>
      </w:r>
      <w:proofErr w:type="spellStart"/>
      <w:r>
        <w:rPr>
          <w:rFonts w:ascii="SolferinoText-Regular" w:hAnsi="SolferinoText-Regular"/>
          <w:color w:val="0A0A0A"/>
        </w:rPr>
        <w:t>Sourcesense</w:t>
      </w:r>
      <w:proofErr w:type="spellEnd"/>
      <w:r>
        <w:rPr>
          <w:rFonts w:ascii="SolferinoText-Regular" w:hAnsi="SolferinoText-Regular"/>
          <w:color w:val="0A0A0A"/>
        </w:rPr>
        <w:t xml:space="preserve">, </w:t>
      </w:r>
      <w:proofErr w:type="spellStart"/>
      <w:r>
        <w:rPr>
          <w:rFonts w:ascii="SolferinoText-Regular" w:hAnsi="SolferinoText-Regular"/>
          <w:color w:val="0A0A0A"/>
        </w:rPr>
        <w:t>Fabilia</w:t>
      </w:r>
      <w:proofErr w:type="spellEnd"/>
      <w:r>
        <w:rPr>
          <w:rFonts w:ascii="SolferinoText-Regular" w:hAnsi="SolferinoText-Regular"/>
          <w:color w:val="0A0A0A"/>
        </w:rPr>
        <w:t xml:space="preserve"> Group, Cy4gate, </w:t>
      </w:r>
      <w:proofErr w:type="spellStart"/>
      <w:r>
        <w:rPr>
          <w:rFonts w:ascii="SolferinoText-Regular" w:hAnsi="SolferinoText-Regular"/>
          <w:color w:val="0A0A0A"/>
        </w:rPr>
        <w:t>Sebino</w:t>
      </w:r>
      <w:proofErr w:type="spellEnd"/>
      <w:r>
        <w:rPr>
          <w:rFonts w:ascii="SolferinoText-Regular" w:hAnsi="SolferinoText-Regular"/>
          <w:color w:val="0A0A0A"/>
        </w:rPr>
        <w:t xml:space="preserve">, </w:t>
      </w:r>
      <w:proofErr w:type="spellStart"/>
      <w:r>
        <w:rPr>
          <w:rFonts w:ascii="SolferinoText-Regular" w:hAnsi="SolferinoText-Regular"/>
          <w:color w:val="0A0A0A"/>
        </w:rPr>
        <w:t>Unidata</w:t>
      </w:r>
      <w:proofErr w:type="spellEnd"/>
      <w:r>
        <w:rPr>
          <w:rFonts w:ascii="SolferinoText-Regular" w:hAnsi="SolferinoText-Regular"/>
          <w:color w:val="0A0A0A"/>
        </w:rPr>
        <w:t xml:space="preserve">. Inoltre, sono state ammesse 2 società a seguito di operazioni di fusione con società precedentemente quotate sul listino: Franco Umberto Marmi (business </w:t>
      </w:r>
      <w:proofErr w:type="spellStart"/>
      <w:r>
        <w:rPr>
          <w:rFonts w:ascii="SolferinoText-Regular" w:hAnsi="SolferinoText-Regular"/>
          <w:color w:val="0A0A0A"/>
        </w:rPr>
        <w:t>combination</w:t>
      </w:r>
      <w:proofErr w:type="spellEnd"/>
      <w:r>
        <w:rPr>
          <w:rFonts w:ascii="SolferinoText-Regular" w:hAnsi="SolferinoText-Regular"/>
          <w:color w:val="0A0A0A"/>
        </w:rPr>
        <w:t xml:space="preserve"> con </w:t>
      </w:r>
      <w:proofErr w:type="spellStart"/>
      <w:r>
        <w:rPr>
          <w:rFonts w:ascii="SolferinoText-Regular" w:hAnsi="SolferinoText-Regular"/>
          <w:color w:val="0A0A0A"/>
        </w:rPr>
        <w:t>TheSpac</w:t>
      </w:r>
      <w:proofErr w:type="spellEnd"/>
      <w:r>
        <w:rPr>
          <w:rFonts w:ascii="SolferinoText-Regular" w:hAnsi="SolferinoText-Regular"/>
          <w:color w:val="0A0A0A"/>
        </w:rPr>
        <w:t>) e Industrie Chimiche Forestali.</w:t>
      </w:r>
    </w:p>
    <w:p w:rsidR="00594F29" w:rsidRDefault="00594F29" w:rsidP="00594F29">
      <w:pPr>
        <w:rPr>
          <w:rFonts w:ascii="BreraCondensed-Regular" w:eastAsia="Times New Roman" w:hAnsi="BreraCondensed-Regular" w:cs="Times New Roman"/>
          <w:spacing w:val="6"/>
          <w:lang w:eastAsia="it-IT"/>
        </w:rPr>
      </w:pPr>
    </w:p>
    <w:p w:rsidR="00594F29" w:rsidRPr="00594F29" w:rsidRDefault="00594F29" w:rsidP="00594F29">
      <w:pPr>
        <w:rPr>
          <w:rFonts w:ascii="SolferinoText-Regular" w:eastAsia="Times New Roman" w:hAnsi="SolferinoText-Regular" w:cs="Times New Roman"/>
          <w:color w:val="0A0A0A"/>
          <w:lang w:eastAsia="it-IT"/>
        </w:rPr>
      </w:pPr>
      <w:r w:rsidRPr="00594F29">
        <w:rPr>
          <w:rFonts w:ascii="SolferinoText-Regular" w:eastAsia="Times New Roman" w:hAnsi="SolferinoText-Regular" w:cs="Times New Roman"/>
          <w:b/>
          <w:bCs/>
          <w:color w:val="0A0A0A"/>
          <w:lang w:eastAsia="it-IT"/>
        </w:rPr>
        <w:t xml:space="preserve">Le 21 nuove </w:t>
      </w:r>
      <w:proofErr w:type="spellStart"/>
      <w:r w:rsidRPr="00594F29">
        <w:rPr>
          <w:rFonts w:ascii="SolferinoText-Regular" w:eastAsia="Times New Roman" w:hAnsi="SolferinoText-Regular" w:cs="Times New Roman"/>
          <w:b/>
          <w:bCs/>
          <w:color w:val="0A0A0A"/>
          <w:lang w:eastAsia="it-IT"/>
        </w:rPr>
        <w:t>Ipo</w:t>
      </w:r>
      <w:proofErr w:type="spellEnd"/>
      <w:r w:rsidRPr="00594F29">
        <w:rPr>
          <w:rFonts w:ascii="SolferinoText-Regular" w:eastAsia="Times New Roman" w:hAnsi="SolferinoText-Regular" w:cs="Times New Roman"/>
          <w:b/>
          <w:bCs/>
          <w:color w:val="0A0A0A"/>
          <w:lang w:eastAsia="it-IT"/>
        </w:rPr>
        <w:t xml:space="preserve"> hanno raccolto 136 milioni di euro (207 milioni di euro nel 2019).</w:t>
      </w:r>
      <w:r w:rsidRPr="00594F29">
        <w:rPr>
          <w:rFonts w:ascii="SolferinoText-Regular" w:eastAsia="Times New Roman" w:hAnsi="SolferinoText-Regular" w:cs="Times New Roman"/>
          <w:color w:val="0A0A0A"/>
          <w:lang w:eastAsia="it-IT"/>
        </w:rPr>
        <w:t xml:space="preserve"> La capitalizzazione totale in </w:t>
      </w:r>
      <w:proofErr w:type="spellStart"/>
      <w:r w:rsidRPr="00594F29">
        <w:rPr>
          <w:rFonts w:ascii="SolferinoText-Regular" w:eastAsia="Times New Roman" w:hAnsi="SolferinoText-Regular" w:cs="Times New Roman"/>
          <w:color w:val="0A0A0A"/>
          <w:lang w:eastAsia="it-IT"/>
        </w:rPr>
        <w:t>Ipo</w:t>
      </w:r>
      <w:proofErr w:type="spellEnd"/>
      <w:r w:rsidRPr="00594F29">
        <w:rPr>
          <w:rFonts w:ascii="SolferinoText-Regular" w:eastAsia="Times New Roman" w:hAnsi="SolferinoText-Regular" w:cs="Times New Roman"/>
          <w:color w:val="0A0A0A"/>
          <w:lang w:eastAsia="it-IT"/>
        </w:rPr>
        <w:t xml:space="preserve"> è pari a 513 milioni di euro. La raccolta media delle IPO nel 2020 è stata pari a 6,5 milioni di euro, superiore al 2019 (5,9 milioni di euro in media. Le nuove quotate provengono per il 38% dalla Lombardia, il 33% dal Lazio, il 9,5% dall’Emilia Romagna e il 9,5% dal Piemonte. Seguono Veneto e Campania, ciascuna rispettivamente con 1 </w:t>
      </w:r>
      <w:proofErr w:type="spellStart"/>
      <w:r w:rsidRPr="00594F29">
        <w:rPr>
          <w:rFonts w:ascii="SolferinoText-Regular" w:eastAsia="Times New Roman" w:hAnsi="SolferinoText-Regular" w:cs="Times New Roman"/>
          <w:color w:val="0A0A0A"/>
          <w:lang w:eastAsia="it-IT"/>
        </w:rPr>
        <w:t>Ipo</w:t>
      </w:r>
      <w:proofErr w:type="spellEnd"/>
      <w:r w:rsidRPr="00594F29">
        <w:rPr>
          <w:rFonts w:ascii="SolferinoText-Regular" w:eastAsia="Times New Roman" w:hAnsi="SolferinoText-Regular" w:cs="Times New Roman"/>
          <w:color w:val="0A0A0A"/>
          <w:lang w:eastAsia="it-IT"/>
        </w:rPr>
        <w:t xml:space="preserve"> (4,8%). In termini di raccolta di capitali, si collocano ai primi posti Lazio (32%), Lombardia (29%) e Veneto (22%).</w:t>
      </w:r>
    </w:p>
    <w:p w:rsidR="00594F29" w:rsidRPr="00594F29" w:rsidRDefault="00594F29" w:rsidP="00594F29">
      <w:pPr>
        <w:rPr>
          <w:rFonts w:ascii="Times New Roman" w:eastAsia="Times New Roman" w:hAnsi="Times New Roman" w:cs="Times New Roman"/>
          <w:lang w:eastAsia="it-IT"/>
        </w:rPr>
      </w:pPr>
    </w:p>
    <w:p w:rsidR="00594F29" w:rsidRPr="00594F29" w:rsidRDefault="00594F29" w:rsidP="00594F29">
      <w:pPr>
        <w:rPr>
          <w:rFonts w:ascii="BreraCondensed-Regular" w:eastAsia="Times New Roman" w:hAnsi="BreraCondensed-Regular" w:cs="Times New Roman"/>
          <w:spacing w:val="6"/>
          <w:lang w:eastAsia="it-IT"/>
        </w:rPr>
      </w:pPr>
    </w:p>
    <w:p w:rsidR="006C1B6D" w:rsidRDefault="00BF79A3"/>
    <w:sectPr w:rsidR="006C1B6D" w:rsidSect="002D3EB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lferinoText-Light">
    <w:altName w:val="Cambria"/>
    <w:panose1 w:val="00000000000000000000"/>
    <w:charset w:val="00"/>
    <w:family w:val="roman"/>
    <w:notTrueType/>
    <w:pitch w:val="default"/>
  </w:font>
  <w:font w:name="SolferinoText-Regular">
    <w:altName w:val="Cambria"/>
    <w:panose1 w:val="00000000000000000000"/>
    <w:charset w:val="00"/>
    <w:family w:val="roman"/>
    <w:notTrueType/>
    <w:pitch w:val="default"/>
  </w:font>
  <w:font w:name="BreraCondensed-Regular">
    <w:altName w:val="Cambria"/>
    <w:panose1 w:val="00000000000000000000"/>
    <w:charset w:val="00"/>
    <w:family w:val="roman"/>
    <w:notTrueType/>
    <w:pitch w:val="default"/>
  </w:font>
  <w:font w:name="BreraCondensed-Bold">
    <w:altName w:val="Cambria"/>
    <w:panose1 w:val="00000000000000000000"/>
    <w:charset w:val="00"/>
    <w:family w:val="roman"/>
    <w:notTrueType/>
    <w:pitch w:val="default"/>
  </w:font>
  <w:font w:name="BreraCondensed-Heavy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F29"/>
    <w:rsid w:val="002D3EBA"/>
    <w:rsid w:val="00594F29"/>
    <w:rsid w:val="00BF79A3"/>
    <w:rsid w:val="00D4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19BB3-72ED-794F-89BE-8FC9207D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94F2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94F2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94F2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signature-bck">
    <w:name w:val="signature-bck"/>
    <w:basedOn w:val="Normale"/>
    <w:rsid w:val="00594F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594F29"/>
  </w:style>
  <w:style w:type="character" w:styleId="Enfasigrassetto">
    <w:name w:val="Strong"/>
    <w:basedOn w:val="Carpredefinitoparagrafo"/>
    <w:uiPriority w:val="22"/>
    <w:qFormat/>
    <w:rsid w:val="00594F29"/>
    <w:rPr>
      <w:b/>
      <w:bCs/>
    </w:rPr>
  </w:style>
  <w:style w:type="character" w:customStyle="1" w:styleId="article-date">
    <w:name w:val="article-date"/>
    <w:basedOn w:val="Carpredefinitoparagrafo"/>
    <w:rsid w:val="00594F29"/>
  </w:style>
  <w:style w:type="character" w:styleId="Collegamentoipertestuale">
    <w:name w:val="Hyperlink"/>
    <w:basedOn w:val="Carpredefinitoparagrafo"/>
    <w:uiPriority w:val="99"/>
    <w:semiHidden/>
    <w:unhideWhenUsed/>
    <w:rsid w:val="00594F29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94F29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hapter-paragraph">
    <w:name w:val="chapter-paragraph"/>
    <w:basedOn w:val="Normale"/>
    <w:rsid w:val="00594F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94F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genziaentrate.gov.it/portale/documents/20143/0/Circolare+n.+32+del+23+dicembre+2020.pdf/417f043a-3216-9bff-dbbc-57f2fd9e8e4b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 Stefano Antonio</cp:lastModifiedBy>
  <cp:revision>2</cp:revision>
  <dcterms:created xsi:type="dcterms:W3CDTF">2021-01-08T10:23:00Z</dcterms:created>
  <dcterms:modified xsi:type="dcterms:W3CDTF">2021-01-08T10:23:00Z</dcterms:modified>
</cp:coreProperties>
</file>